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EFE" w:rsidRPr="0012360D" w:rsidRDefault="00B86A2B" w:rsidP="00B524F2">
      <w:pPr>
        <w:widowControl w:val="0"/>
        <w:ind w:left="-142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smn-FI"/>
        </w:rPr>
        <w:t>VIII.1</w:t>
      </w:r>
      <w:r w:rsidR="00B524F2">
        <w:rPr>
          <w:rFonts w:ascii="Garamond" w:hAnsi="Garamond"/>
          <w:b/>
          <w:sz w:val="28"/>
          <w:szCs w:val="28"/>
        </w:rPr>
        <w:t>.</w:t>
      </w:r>
      <w:r>
        <w:rPr>
          <w:rFonts w:ascii="Garamond" w:hAnsi="Garamond"/>
          <w:b/>
          <w:sz w:val="28"/>
          <w:szCs w:val="28"/>
          <w:lang w:val="smn-FI"/>
        </w:rPr>
        <w:t xml:space="preserve"> </w:t>
      </w:r>
      <w:r w:rsidR="00AA1EFE" w:rsidRPr="00A82A7B">
        <w:rPr>
          <w:rFonts w:ascii="Garamond" w:hAnsi="Garamond"/>
          <w:b/>
          <w:sz w:val="28"/>
          <w:szCs w:val="28"/>
        </w:rPr>
        <w:t>Изменения, связанные с</w:t>
      </w:r>
      <w:r w:rsidR="0095467F" w:rsidRPr="0095467F">
        <w:rPr>
          <w:rFonts w:ascii="Garamond" w:hAnsi="Garamond"/>
          <w:b/>
          <w:sz w:val="28"/>
          <w:szCs w:val="28"/>
        </w:rPr>
        <w:t xml:space="preserve"> определением порядка оплаты отклонений в ГТП экспорта-импорта</w:t>
      </w:r>
    </w:p>
    <w:p w:rsidR="00AA1EFE" w:rsidRPr="009B055A" w:rsidRDefault="00AA1EFE" w:rsidP="00B524F2">
      <w:pPr>
        <w:widowControl w:val="0"/>
        <w:ind w:left="-142"/>
        <w:rPr>
          <w:rFonts w:ascii="Garamond" w:hAnsi="Garamond"/>
        </w:rPr>
      </w:pPr>
    </w:p>
    <w:p w:rsidR="00CD506A" w:rsidRDefault="00CD506A" w:rsidP="00CD506A">
      <w:pPr>
        <w:widowControl w:val="0"/>
        <w:jc w:val="right"/>
        <w:rPr>
          <w:rFonts w:ascii="Garamond" w:hAnsi="Garamond"/>
          <w:b/>
          <w:sz w:val="28"/>
          <w:szCs w:val="28"/>
          <w:lang w:val="smn-FI"/>
        </w:rPr>
      </w:pPr>
      <w:r w:rsidRPr="00A82A7B">
        <w:rPr>
          <w:rFonts w:ascii="Garamond" w:hAnsi="Garamond"/>
          <w:b/>
          <w:sz w:val="28"/>
          <w:szCs w:val="28"/>
        </w:rPr>
        <w:t>Приложение №</w:t>
      </w:r>
      <w:r w:rsidR="009B055A">
        <w:rPr>
          <w:rFonts w:ascii="Garamond" w:hAnsi="Garamond"/>
          <w:b/>
          <w:sz w:val="28"/>
          <w:szCs w:val="28"/>
        </w:rPr>
        <w:t> </w:t>
      </w:r>
      <w:r w:rsidR="00B86A2B">
        <w:rPr>
          <w:rFonts w:ascii="Garamond" w:hAnsi="Garamond"/>
          <w:b/>
          <w:sz w:val="28"/>
          <w:szCs w:val="28"/>
          <w:lang w:val="smn-FI"/>
        </w:rPr>
        <w:t>8.1</w:t>
      </w:r>
      <w:r w:rsidR="006D1911">
        <w:rPr>
          <w:rFonts w:ascii="Garamond" w:hAnsi="Garamond"/>
          <w:b/>
          <w:sz w:val="28"/>
          <w:szCs w:val="28"/>
          <w:lang w:val="smn-FI"/>
        </w:rPr>
        <w:t>.1</w:t>
      </w:r>
    </w:p>
    <w:p w:rsidR="00B524F2" w:rsidRPr="00E06FE5" w:rsidRDefault="00B524F2" w:rsidP="00CD506A">
      <w:pPr>
        <w:widowControl w:val="0"/>
        <w:jc w:val="right"/>
        <w:rPr>
          <w:rFonts w:ascii="Garamond" w:hAnsi="Garamond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8"/>
      </w:tblGrid>
      <w:tr w:rsidR="00CD506A" w:rsidRPr="00B7505D" w:rsidTr="00204E1B">
        <w:trPr>
          <w:trHeight w:val="928"/>
        </w:trPr>
        <w:tc>
          <w:tcPr>
            <w:tcW w:w="14688" w:type="dxa"/>
          </w:tcPr>
          <w:p w:rsidR="00CD506A" w:rsidRPr="00B7505D" w:rsidRDefault="00CD506A" w:rsidP="00B524F2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b/>
              </w:rPr>
            </w:pPr>
            <w:r w:rsidRPr="00B7505D">
              <w:rPr>
                <w:rFonts w:ascii="Garamond" w:hAnsi="Garamond"/>
                <w:b/>
              </w:rPr>
              <w:t xml:space="preserve">Инициатор: </w:t>
            </w:r>
            <w:r w:rsidRPr="00B7505D">
              <w:rPr>
                <w:rFonts w:ascii="Garamond" w:hAnsi="Garamond"/>
              </w:rPr>
              <w:t>НП «Совет рынка».</w:t>
            </w:r>
          </w:p>
          <w:p w:rsidR="00CD506A" w:rsidRPr="001F1AD3" w:rsidRDefault="00CD506A" w:rsidP="00B524F2">
            <w:pPr>
              <w:jc w:val="both"/>
              <w:rPr>
                <w:rFonts w:ascii="Garamond" w:hAnsi="Garamond"/>
              </w:rPr>
            </w:pPr>
            <w:r w:rsidRPr="00B7505D">
              <w:rPr>
                <w:rFonts w:ascii="Garamond" w:hAnsi="Garamond"/>
                <w:b/>
              </w:rPr>
              <w:t xml:space="preserve">Обоснование: </w:t>
            </w:r>
            <w:r w:rsidR="00B524F2">
              <w:rPr>
                <w:rFonts w:ascii="Garamond" w:hAnsi="Garamond"/>
              </w:rPr>
              <w:t>п</w:t>
            </w:r>
            <w:r w:rsidRPr="001F1AD3">
              <w:rPr>
                <w:rFonts w:ascii="Garamond" w:hAnsi="Garamond"/>
              </w:rPr>
              <w:t xml:space="preserve">редлагается </w:t>
            </w:r>
            <w:r w:rsidR="00E16260">
              <w:rPr>
                <w:rFonts w:ascii="Garamond" w:hAnsi="Garamond"/>
              </w:rPr>
              <w:t xml:space="preserve">до 1 июля 2015 года продлить действующий порядок, позволяющий </w:t>
            </w:r>
            <w:r w:rsidRPr="001F1AD3">
              <w:rPr>
                <w:rFonts w:ascii="Garamond" w:hAnsi="Garamond"/>
              </w:rPr>
              <w:t xml:space="preserve">обеспечить оплату отклонений, </w:t>
            </w:r>
            <w:r w:rsidRPr="001F1AD3">
              <w:rPr>
                <w:rFonts w:ascii="Garamond" w:hAnsi="Garamond" w:cs="Garamond"/>
              </w:rPr>
              <w:t>относимых на параллельную работу энергосистем, исходя из средневзвешенных по объемам отклонений значений равновесных цен в соответствующих ГТП экспорта/импорта.</w:t>
            </w:r>
          </w:p>
          <w:p w:rsidR="00CD506A" w:rsidRPr="00B7505D" w:rsidRDefault="00CD506A" w:rsidP="00B524F2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B7505D">
              <w:rPr>
                <w:rFonts w:ascii="Garamond" w:hAnsi="Garamond"/>
                <w:b/>
              </w:rPr>
              <w:t>Д</w:t>
            </w:r>
            <w:r>
              <w:rPr>
                <w:rFonts w:ascii="Garamond" w:hAnsi="Garamond"/>
                <w:b/>
              </w:rPr>
              <w:t>ата вступления в силу:</w:t>
            </w:r>
            <w:r w:rsidRPr="00E16260">
              <w:rPr>
                <w:rFonts w:ascii="Garamond" w:hAnsi="Garamond"/>
              </w:rPr>
              <w:t xml:space="preserve"> </w:t>
            </w:r>
            <w:r w:rsidRPr="00B7505D">
              <w:rPr>
                <w:rFonts w:ascii="Garamond" w:hAnsi="Garamond"/>
              </w:rPr>
              <w:t xml:space="preserve">1 </w:t>
            </w:r>
            <w:r w:rsidR="00204E1B">
              <w:rPr>
                <w:rFonts w:ascii="Garamond" w:hAnsi="Garamond"/>
              </w:rPr>
              <w:t>апреля</w:t>
            </w:r>
            <w:r w:rsidRPr="00B7505D">
              <w:rPr>
                <w:rFonts w:ascii="Garamond" w:hAnsi="Garamond"/>
              </w:rPr>
              <w:t xml:space="preserve"> 2015 года</w:t>
            </w:r>
            <w:r w:rsidR="00E16260">
              <w:rPr>
                <w:rFonts w:ascii="Garamond" w:hAnsi="Garamond"/>
              </w:rPr>
              <w:t xml:space="preserve"> </w:t>
            </w:r>
            <w:r w:rsidR="00B524F2">
              <w:rPr>
                <w:rFonts w:ascii="Garamond" w:hAnsi="Garamond"/>
              </w:rPr>
              <w:t xml:space="preserve">и действуют </w:t>
            </w:r>
            <w:r w:rsidR="00E16260">
              <w:rPr>
                <w:rFonts w:ascii="Garamond" w:hAnsi="Garamond"/>
              </w:rPr>
              <w:t>по 30 июня 2015 года (включительно)</w:t>
            </w:r>
            <w:r w:rsidRPr="00B7505D">
              <w:rPr>
                <w:rFonts w:ascii="Garamond" w:hAnsi="Garamond"/>
              </w:rPr>
              <w:t>.</w:t>
            </w:r>
          </w:p>
        </w:tc>
      </w:tr>
    </w:tbl>
    <w:p w:rsidR="00CD506A" w:rsidRPr="00B524F2" w:rsidRDefault="00CD506A" w:rsidP="00CD506A">
      <w:pPr>
        <w:pStyle w:val="subclauseindent"/>
        <w:spacing w:before="0" w:after="0"/>
        <w:ind w:left="0"/>
        <w:rPr>
          <w:rFonts w:ascii="Garamond" w:hAnsi="Garamond"/>
          <w:b/>
          <w:sz w:val="24"/>
          <w:szCs w:val="24"/>
          <w:lang w:val="ru-RU"/>
        </w:rPr>
      </w:pPr>
    </w:p>
    <w:p w:rsidR="00CD506A" w:rsidRPr="00AA0591" w:rsidRDefault="00CD506A" w:rsidP="00B524F2">
      <w:pPr>
        <w:pStyle w:val="subclauseindent"/>
        <w:spacing w:before="0" w:after="0"/>
        <w:ind w:left="-142"/>
        <w:jc w:val="left"/>
        <w:rPr>
          <w:rFonts w:ascii="Garamond" w:hAnsi="Garamond"/>
          <w:b/>
          <w:sz w:val="26"/>
          <w:szCs w:val="26"/>
          <w:lang w:val="ru-RU"/>
        </w:rPr>
      </w:pPr>
      <w:r>
        <w:rPr>
          <w:rFonts w:ascii="Garamond" w:hAnsi="Garamond"/>
          <w:b/>
          <w:sz w:val="26"/>
          <w:szCs w:val="26"/>
          <w:lang w:val="ru-RU"/>
        </w:rPr>
        <w:t xml:space="preserve">Предложения по изменениям </w:t>
      </w:r>
      <w:r w:rsidRPr="00AA0591">
        <w:rPr>
          <w:rFonts w:ascii="Garamond" w:hAnsi="Garamond"/>
          <w:b/>
          <w:sz w:val="26"/>
          <w:szCs w:val="26"/>
          <w:lang w:val="ru-RU"/>
        </w:rPr>
        <w:t xml:space="preserve">и дополнениям в </w:t>
      </w:r>
      <w:r w:rsidRPr="00CF0085">
        <w:rPr>
          <w:rFonts w:ascii="Garamond" w:hAnsi="Garamond"/>
          <w:b/>
          <w:color w:val="000000"/>
          <w:sz w:val="26"/>
          <w:szCs w:val="26"/>
          <w:lang w:val="ru-RU"/>
        </w:rPr>
        <w:t>РЕГЛАМЕНТ О</w:t>
      </w:r>
      <w:r>
        <w:rPr>
          <w:rFonts w:ascii="Garamond" w:hAnsi="Garamond"/>
          <w:b/>
          <w:color w:val="000000"/>
          <w:sz w:val="26"/>
          <w:szCs w:val="26"/>
          <w:lang w:val="ru-RU"/>
        </w:rPr>
        <w:t>ПРЕДЕЛЕНИЯ ОБЪЕМОВ, ИНИЦИАТИВ И </w:t>
      </w:r>
      <w:r w:rsidRPr="00CF0085">
        <w:rPr>
          <w:rFonts w:ascii="Garamond" w:hAnsi="Garamond"/>
          <w:b/>
          <w:color w:val="000000"/>
          <w:sz w:val="26"/>
          <w:szCs w:val="26"/>
          <w:lang w:val="ru-RU"/>
        </w:rPr>
        <w:t xml:space="preserve">СТОИМОСТИ ОТКЛОНЕНИЙ </w:t>
      </w:r>
      <w:r w:rsidRPr="00AA0591">
        <w:rPr>
          <w:rFonts w:ascii="Garamond" w:hAnsi="Garamond"/>
          <w:b/>
          <w:sz w:val="26"/>
          <w:szCs w:val="26"/>
          <w:lang w:val="ru-RU"/>
        </w:rPr>
        <w:t>(Приложение №</w:t>
      </w:r>
      <w:r w:rsidR="00B524F2">
        <w:rPr>
          <w:rFonts w:ascii="Garamond" w:hAnsi="Garamond"/>
          <w:b/>
          <w:sz w:val="26"/>
          <w:szCs w:val="26"/>
          <w:lang w:val="ru-RU"/>
        </w:rPr>
        <w:t xml:space="preserve"> 12 к Договору о присоединении </w:t>
      </w:r>
      <w:r w:rsidRPr="00AA0591">
        <w:rPr>
          <w:rFonts w:ascii="Garamond" w:hAnsi="Garamond"/>
          <w:b/>
          <w:sz w:val="26"/>
          <w:szCs w:val="26"/>
          <w:lang w:val="ru-RU"/>
        </w:rPr>
        <w:t>к торговой системе оптового рынка)</w:t>
      </w:r>
    </w:p>
    <w:p w:rsidR="00CD506A" w:rsidRPr="002B5432" w:rsidRDefault="00CD506A" w:rsidP="00CD506A">
      <w:pPr>
        <w:widowControl w:val="0"/>
        <w:rPr>
          <w:rFonts w:ascii="Garamond" w:hAnsi="Garamond"/>
        </w:rPr>
      </w:pPr>
    </w:p>
    <w:tbl>
      <w:tblPr>
        <w:tblW w:w="147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2"/>
        <w:gridCol w:w="16"/>
        <w:gridCol w:w="6237"/>
        <w:gridCol w:w="7067"/>
      </w:tblGrid>
      <w:tr w:rsidR="00CD506A" w:rsidRPr="002B5432" w:rsidTr="00B524F2">
        <w:tc>
          <w:tcPr>
            <w:tcW w:w="1402" w:type="dxa"/>
            <w:vAlign w:val="center"/>
          </w:tcPr>
          <w:p w:rsidR="00CD506A" w:rsidRDefault="00CD506A" w:rsidP="00204E1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№</w:t>
            </w: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  <w:p w:rsidR="00CD506A" w:rsidRPr="002B5432" w:rsidRDefault="00CD506A" w:rsidP="00204E1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253" w:type="dxa"/>
            <w:gridSpan w:val="2"/>
          </w:tcPr>
          <w:p w:rsidR="00CD506A" w:rsidRPr="008C14FB" w:rsidRDefault="00CD506A" w:rsidP="00204E1B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CD506A" w:rsidRPr="002B5432" w:rsidRDefault="00CD506A" w:rsidP="00204E1B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67" w:type="dxa"/>
          </w:tcPr>
          <w:p w:rsidR="00CD506A" w:rsidRPr="002B5432" w:rsidRDefault="00CD506A" w:rsidP="00204E1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CD506A" w:rsidRPr="002B5432" w:rsidRDefault="00CD506A" w:rsidP="00204E1B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2B5432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CD506A" w:rsidRPr="00F51D4C" w:rsidTr="00B524F2">
        <w:trPr>
          <w:trHeight w:val="350"/>
        </w:trPr>
        <w:tc>
          <w:tcPr>
            <w:tcW w:w="1402" w:type="dxa"/>
            <w:vAlign w:val="center"/>
          </w:tcPr>
          <w:p w:rsidR="00CD506A" w:rsidRPr="00471DFC" w:rsidRDefault="00CD506A" w:rsidP="00204E1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71DFC">
              <w:rPr>
                <w:rFonts w:ascii="Garamond" w:hAnsi="Garamond"/>
                <w:b/>
                <w:sz w:val="22"/>
                <w:szCs w:val="22"/>
              </w:rPr>
              <w:t>3.1.2</w:t>
            </w:r>
          </w:p>
        </w:tc>
        <w:tc>
          <w:tcPr>
            <w:tcW w:w="6253" w:type="dxa"/>
            <w:gridSpan w:val="2"/>
          </w:tcPr>
          <w:p w:rsidR="00CD506A" w:rsidRPr="0012360D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lang w:val="ru-RU"/>
              </w:rPr>
            </w:pPr>
            <w:r w:rsidRPr="0012360D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В целях определения расчетных показателей стоимости и объемов отклонений</w:t>
            </w:r>
            <w:r w:rsidRPr="004B6BB1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,</w:t>
            </w:r>
            <w:r w:rsidRPr="0012360D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используются ставки на балансирующую энергию, определенные по правилам, описанным в разделе </w:t>
            </w:r>
            <w:r w:rsidRPr="00114DF0">
              <w:rPr>
                <w:rFonts w:ascii="Garamond" w:hAnsi="Garamond"/>
                <w:sz w:val="22"/>
                <w:szCs w:val="22"/>
                <w:lang w:val="ru-RU"/>
              </w:rPr>
              <w:t>4</w:t>
            </w:r>
            <w:r>
              <w:rPr>
                <w:lang w:val="ru-RU"/>
              </w:rPr>
              <w:t xml:space="preserve"> </w:t>
            </w:r>
            <w:r w:rsidRPr="0012360D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настоящего Регламента. Ставки формируются применением нижеследующих величин:</w:t>
            </w:r>
          </w:p>
          <w:p w:rsidR="00CD506A" w:rsidRPr="00EB39A2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lang w:val="ru-RU"/>
              </w:rPr>
            </w:pPr>
            <w:r w:rsidRPr="0012360D">
              <w:rPr>
                <w:rFonts w:ascii="Garamond" w:hAnsi="Garamond"/>
                <w:sz w:val="22"/>
                <w:szCs w:val="22"/>
                <w:lang w:val="ru-RU"/>
              </w:rPr>
              <w:t>…</w:t>
            </w:r>
          </w:p>
          <w:p w:rsidR="00CD506A" w:rsidRPr="00D75C15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lang w:val="ru-RU"/>
              </w:rPr>
            </w:pPr>
            <w:r w:rsidRPr="00EB39A2">
              <w:rPr>
                <w:rFonts w:ascii="Garamond" w:hAnsi="Garamond"/>
                <w:sz w:val="22"/>
                <w:szCs w:val="22"/>
                <w:lang w:val="ru-RU"/>
              </w:rPr>
              <w:t>5.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</w: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5</w:t>
            </w:r>
            <w:r w:rsidRPr="00D75C15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.1</w: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) установленная федеральным органом исполнительной власти в области регулирования тарифов регулируемая </w:t>
            </w:r>
            <w:r w:rsidRPr="0012360D">
              <w:rPr>
                <w:rFonts w:ascii="Garamond" w:hAnsi="Garamond" w:cs="Calibri"/>
                <w:sz w:val="22"/>
                <w:szCs w:val="22"/>
                <w:highlight w:val="yellow"/>
                <w:lang w:val="ru-RU"/>
              </w:rPr>
              <w:t xml:space="preserve">цена (тариф) </w: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</w:rPr>
              <w:fldChar w:fldCharType="begin"/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instrText xml:space="preserve"> </w:instrTex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</w:rPr>
              <w:instrText>EQ</w:instrTex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instrText xml:space="preserve"> Т\</w:instrTex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</w:rPr>
              <w:instrText>s</w:instrTex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instrText xml:space="preserve">(ФСТ;ДДПР ) </w:instrTex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</w:rPr>
              <w:fldChar w:fldCharType="end"/>
            </w:r>
            <w:r w:rsidRPr="0012360D">
              <w:rPr>
                <w:rFonts w:ascii="Garamond" w:hAnsi="Garamond" w:cs="Calibri"/>
                <w:sz w:val="22"/>
                <w:szCs w:val="22"/>
                <w:highlight w:val="yellow"/>
                <w:lang w:val="ru-RU"/>
              </w:rPr>
              <w:t>на электрическую энергию, продаваемую и приобретаемую на оптовом рынке в целях технологического обеспечения совместной работы Единой энергетической системы России и электроэнергетических систем иностранных государств</w:t>
            </w:r>
            <w:r w:rsidRPr="0012360D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;</w:t>
            </w:r>
          </w:p>
          <w:p w:rsidR="00CD506A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sz w:val="22"/>
                <w:szCs w:val="22"/>
                <w:lang w:val="ru-RU"/>
              </w:rPr>
              <w:t>…</w:t>
            </w:r>
          </w:p>
          <w:p w:rsidR="00CD506A" w:rsidRPr="000E11CC" w:rsidRDefault="00CD506A" w:rsidP="00B524F2">
            <w:pPr>
              <w:pStyle w:val="21"/>
              <w:spacing w:before="120" w:after="120"/>
              <w:ind w:left="70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</w:p>
          <w:p w:rsidR="00CD506A" w:rsidRPr="001C4FAD" w:rsidRDefault="00CD506A" w:rsidP="00B524F2">
            <w:pPr>
              <w:pStyle w:val="21"/>
              <w:spacing w:before="120" w:after="120"/>
              <w:ind w:left="0"/>
              <w:rPr>
                <w:rFonts w:ascii="Garamond" w:hAnsi="Garamond"/>
                <w:b/>
                <w:sz w:val="22"/>
                <w:szCs w:val="22"/>
                <w:lang w:val="ru-RU"/>
              </w:rPr>
            </w:pPr>
          </w:p>
        </w:tc>
        <w:tc>
          <w:tcPr>
            <w:tcW w:w="7067" w:type="dxa"/>
          </w:tcPr>
          <w:p w:rsidR="00CD506A" w:rsidRPr="00A121E5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21E5">
              <w:rPr>
                <w:rFonts w:ascii="Garamond" w:hAnsi="Garamond"/>
                <w:sz w:val="22"/>
                <w:szCs w:val="22"/>
                <w:lang w:val="ru-RU"/>
              </w:rPr>
              <w:t>В целях определения расчетных показателей стоимости и объемов отклонений используются ставки на балансирующую энергию, определенные по правилам, описанным в разделе 4 настоящего Регламента. Ставки формируются применением нижеследующих величин:</w:t>
            </w:r>
          </w:p>
          <w:p w:rsidR="00CD506A" w:rsidRPr="00E06FE5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lang w:val="ru-RU"/>
              </w:rPr>
            </w:pPr>
            <w:r w:rsidRPr="00E06FE5">
              <w:rPr>
                <w:rFonts w:ascii="Garamond" w:hAnsi="Garamond"/>
                <w:sz w:val="22"/>
                <w:szCs w:val="22"/>
                <w:lang w:val="ru-RU"/>
              </w:rPr>
              <w:t>…</w:t>
            </w:r>
          </w:p>
          <w:p w:rsidR="00CD506A" w:rsidRPr="006D3F4D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r w:rsidRPr="00CD35C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5. </w:t>
            </w:r>
            <w:r w:rsidR="004B6BB1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а</w:t>
            </w:r>
            <w:r w:rsidRPr="00471DF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)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Для ГТП импорта (ГТП экспорта) </w:t>
            </w:r>
            <w:r w:rsidRPr="00CF149C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p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, зарегистрированных на сечении экспорта/импорта </w:t>
            </w:r>
            <w:r w:rsidRPr="00CF149C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s</w:t>
            </w:r>
            <w:r w:rsidRPr="00471DF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участника оптового рынка </w:t>
            </w:r>
            <w:r w:rsidRPr="00CF149C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i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в час операционных суток </w:t>
            </w:r>
            <w:r w:rsidRPr="00CF149C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h</w:t>
            </w:r>
            <w:r w:rsidR="00CF149C" w:rsidRPr="00CF149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, </w:t>
            </w:r>
            <w:proofErr w:type="gramStart"/>
            <w:r w:rsidR="00CF149C" w:rsidRPr="006223C7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величина </w:t>
            </w:r>
            <w:r w:rsidR="00CF149C" w:rsidRPr="006223C7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05pt;height:20.05pt" o:ole="">
                  <v:imagedata r:id="rId6" o:title=""/>
                </v:shape>
                <o:OLEObject Type="Embed" ProgID="Equation.3" ShapeID="_x0000_i1025" DrawAspect="Content" ObjectID="_1485936977" r:id="rId7"/>
              </w:object>
            </w:r>
            <w:r w:rsidR="00CF149C" w:rsidRPr="006223C7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</w:t>
            </w:r>
            <w:r w:rsidR="00FD4EB2" w:rsidRPr="006223C7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определяется</w:t>
            </w:r>
            <w:proofErr w:type="gramEnd"/>
            <w:r w:rsidR="00FD4EB2" w:rsidRPr="006223C7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</w:t>
            </w:r>
            <w:r w:rsidR="00CF149C" w:rsidRPr="006223C7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с учетом математического округления до 11 знаков после запятой как</w:t>
            </w:r>
            <w:r w:rsidRPr="00FE4E77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:</w:t>
            </w:r>
          </w:p>
          <w:p w:rsidR="00CD506A" w:rsidRPr="00CF149C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r w:rsidRPr="006D3F4D">
              <w:rPr>
                <w:rFonts w:ascii="Garamond" w:hAnsi="Garamond"/>
                <w:position w:val="-46"/>
                <w:sz w:val="22"/>
                <w:szCs w:val="22"/>
                <w:highlight w:val="yellow"/>
              </w:rPr>
              <w:object w:dxaOrig="7060" w:dyaOrig="1040">
                <v:shape id="_x0000_i1026" type="#_x0000_t75" style="width:319.95pt;height:46.95pt" o:ole="">
                  <v:imagedata r:id="rId8" o:title=""/>
                </v:shape>
                <o:OLEObject Type="Embed" ProgID="Equation.3" ShapeID="_x0000_i1026" DrawAspect="Content" ObjectID="_1485936978" r:id="rId9"/>
              </w:object>
            </w:r>
            <w:r w:rsidR="00CF149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,</w:t>
            </w:r>
          </w:p>
          <w:p w:rsidR="00CD506A" w:rsidRPr="00E80EDC" w:rsidRDefault="004B6BB1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proofErr w:type="gramStart"/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где </w:t>
            </w:r>
            <w:r w:rsidR="00CD506A" w:rsidRPr="00E80ED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object w:dxaOrig="300" w:dyaOrig="360">
                <v:shape id="_x0000_i1027" type="#_x0000_t75" style="width:15.05pt;height:18.8pt" o:ole="" fillcolor="window">
                  <v:imagedata r:id="rId10" o:title=""/>
                </v:shape>
                <o:OLEObject Type="Embed" ProgID="Equation.3" ShapeID="_x0000_i1027" DrawAspect="Content" ObjectID="_1485936979" r:id="rId11"/>
              </w:object>
            </w:r>
            <w:r w:rsidR="00CD506A" w:rsidRPr="00E80ED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–</w:t>
            </w:r>
            <w:proofErr w:type="gramEnd"/>
            <w:r w:rsidR="00CD506A" w:rsidRPr="00E80ED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равновесная цена, определенная в результате конкурентного отбора ценовых заявок на сутки вперед в соответствии с </w:t>
            </w:r>
            <w:r w:rsidR="00CD506A" w:rsidRPr="00630620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Регламентом проведения конкурентного отбора ценовых заявок на сутки вперед</w:t>
            </w:r>
            <w:r w:rsidR="00CD506A" w:rsidRPr="00E80ED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(Приложение № 7 к </w:t>
            </w:r>
            <w:r w:rsidR="00CD506A" w:rsidRPr="00630620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Договору о присоединении к торговой системе оптового рынка</w:t>
            </w:r>
            <w:r w:rsidR="00CD506A" w:rsidRPr="00E80ED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), по сечению экспорта/импорта </w:t>
            </w:r>
            <w:r w:rsidR="00CD506A" w:rsidRPr="004B6BB1">
              <w:rPr>
                <w:rFonts w:ascii="Garamond" w:hAnsi="Garamond"/>
                <w:i/>
                <w:sz w:val="22"/>
                <w:szCs w:val="22"/>
                <w:highlight w:val="yellow"/>
                <w:lang w:val="ru-RU"/>
              </w:rPr>
              <w:t>s</w:t>
            </w:r>
            <w:r w:rsidR="00CD506A" w:rsidRPr="00E80EDC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.</w:t>
            </w:r>
          </w:p>
          <w:p w:rsidR="00CD506A" w:rsidRPr="007B183C" w:rsidRDefault="00CD506A" w:rsidP="00B524F2">
            <w:pPr>
              <w:spacing w:before="120" w:after="120"/>
              <w:jc w:val="both"/>
              <w:rPr>
                <w:rFonts w:ascii="Garamond" w:hAnsi="Garamond"/>
                <w:b/>
                <w:caps/>
                <w:sz w:val="22"/>
                <w:szCs w:val="22"/>
              </w:rPr>
            </w:pPr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>Для ГТП экспорта/импорта, зарегистрированных на сечениях экспорта-</w:t>
            </w:r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 xml:space="preserve">импорта, соответствующих </w:t>
            </w:r>
            <w:proofErr w:type="spellStart"/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>перетокам</w:t>
            </w:r>
            <w:proofErr w:type="spellEnd"/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 xml:space="preserve"> между первой и второй ценовыми зонами (ценовой зоной и </w:t>
            </w:r>
            <w:proofErr w:type="spellStart"/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>внезональным</w:t>
            </w:r>
            <w:proofErr w:type="spellEnd"/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>энергорайоном</w:t>
            </w:r>
            <w:proofErr w:type="spellEnd"/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>, соответствующим представлению другой ценовой зоны (и Казахстана) в расчетной модели для данной ценовой зоны) и не являющихся транзитными</w:t>
            </w:r>
            <w:r w:rsidR="00CF149C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 xml:space="preserve"> величина </w:t>
            </w:r>
            <w:r w:rsidRPr="00E80ED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28" type="#_x0000_t75" style="width:16.3pt;height:18.8pt" o:ole="" fillcolor="window">
                  <v:imagedata r:id="rId12" o:title=""/>
                </v:shape>
                <o:OLEObject Type="Embed" ProgID="Equation.3" ShapeID="_x0000_i1028" DrawAspect="Content" ObjectID="_1485936980" r:id="rId13"/>
              </w:object>
            </w:r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 xml:space="preserve">определяется в соответствии с разделом 8 </w:t>
            </w:r>
            <w:r w:rsidRPr="00E80EDC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расчета плановых объемов производства и потребления и расчета стоимости электроэнергии на сутки вперед</w:t>
            </w:r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</w:t>
            </w:r>
            <w:r w:rsidRPr="00E80EDC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 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8</w:t>
            </w:r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 xml:space="preserve"> к </w:t>
            </w:r>
            <w:r w:rsidRPr="00E80EDC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рынка)</w:t>
            </w:r>
            <w:r w:rsidRPr="00E80EDC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  <w:r w:rsidRPr="00E80EDC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CD506A" w:rsidRPr="00CD35CC" w:rsidRDefault="00CD506A" w:rsidP="00B524F2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E06FE5">
              <w:rPr>
                <w:rFonts w:ascii="Garamond" w:hAnsi="Garamond"/>
                <w:sz w:val="22"/>
                <w:szCs w:val="22"/>
                <w:lang w:val="ru-RU"/>
              </w:rPr>
              <w:t>…</w:t>
            </w:r>
          </w:p>
        </w:tc>
      </w:tr>
      <w:tr w:rsidR="00204E1B" w:rsidRPr="002B5432" w:rsidTr="00B524F2">
        <w:trPr>
          <w:trHeight w:val="350"/>
        </w:trPr>
        <w:tc>
          <w:tcPr>
            <w:tcW w:w="1418" w:type="dxa"/>
            <w:gridSpan w:val="2"/>
            <w:vAlign w:val="center"/>
          </w:tcPr>
          <w:p w:rsidR="00204E1B" w:rsidRPr="00471DFC" w:rsidRDefault="00204E1B" w:rsidP="00B524F2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71DFC">
              <w:rPr>
                <w:rFonts w:ascii="Garamond" w:hAnsi="Garamond"/>
                <w:b/>
                <w:sz w:val="22"/>
                <w:szCs w:val="22"/>
              </w:rPr>
              <w:lastRenderedPageBreak/>
              <w:t>5.3</w:t>
            </w:r>
          </w:p>
        </w:tc>
        <w:tc>
          <w:tcPr>
            <w:tcW w:w="6237" w:type="dxa"/>
          </w:tcPr>
          <w:p w:rsidR="00204E1B" w:rsidRPr="003C3108" w:rsidRDefault="00204E1B" w:rsidP="00B524F2">
            <w:pPr>
              <w:pStyle w:val="20"/>
              <w:keepNext w:val="0"/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5.3. </w:t>
            </w: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Определение расчетных показателей стоимости для держателя договора о параллельной работе </w:t>
            </w:r>
          </w:p>
          <w:p w:rsidR="00204E1B" w:rsidRDefault="00204E1B" w:rsidP="00B524F2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Расчетные показатели стоимости </w: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С\s(треб; ДДПР имп,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, </w: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С\s(об-во; ДДПР эксп,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, </w: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С\s(об-во; ДДПР имп,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, </w: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С\s(треб; ДДПР эксп,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 отклонений -</w:t>
            </w:r>
            <w:r w:rsidRPr="00AB7132">
              <w:rPr>
                <w:position w:val="-14"/>
              </w:rPr>
              <w:object w:dxaOrig="920" w:dyaOrig="400">
                <v:shape id="_x0000_i1029" type="#_x0000_t75" style="width:45.7pt;height:20.05pt" o:ole="">
                  <v:imagedata r:id="rId14" o:title=""/>
                </v:shape>
                <o:OLEObject Type="Embed" ProgID="Equation.3" ShapeID="_x0000_i1029" DrawAspect="Content" ObjectID="_1485936981" r:id="rId15"/>
              </w:objec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B7132">
              <w:rPr>
                <w:position w:val="-14"/>
              </w:rPr>
              <w:object w:dxaOrig="880" w:dyaOrig="400">
                <v:shape id="_x0000_i1030" type="#_x0000_t75" style="width:44.45pt;height:20.05pt" o:ole="">
                  <v:imagedata r:id="rId16" o:title=""/>
                </v:shape>
                <o:OLEObject Type="Embed" ProgID="Equation.3" ShapeID="_x0000_i1030" DrawAspect="Content" ObjectID="_1485936982" r:id="rId17"/>
              </w:objec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B7132">
              <w:rPr>
                <w:position w:val="-14"/>
              </w:rPr>
              <w:object w:dxaOrig="900" w:dyaOrig="400">
                <v:shape id="_x0000_i1031" type="#_x0000_t75" style="width:45.1pt;height:20.05pt" o:ole="">
                  <v:imagedata r:id="rId18" o:title=""/>
                </v:shape>
                <o:OLEObject Type="Embed" ProgID="Equation.3" ShapeID="_x0000_i1031" DrawAspect="Content" ObjectID="_1485936983" r:id="rId19"/>
              </w:objec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B7132">
              <w:rPr>
                <w:position w:val="-14"/>
              </w:rPr>
              <w:object w:dxaOrig="880" w:dyaOrig="400">
                <v:shape id="_x0000_i1032" type="#_x0000_t75" style="width:44.45pt;height:20.05pt" o:ole="">
                  <v:imagedata r:id="rId20" o:title=""/>
                </v:shape>
                <o:OLEObject Type="Embed" ProgID="Equation.3" ShapeID="_x0000_i1032" DrawAspect="Content" ObjectID="_1485936984" r:id="rId21"/>
              </w:objec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>, относимых на параллельную работу ЕЭС России и электроэнергетических систем иностранных государств, рассчитанных в соответствии с п.</w:t>
            </w:r>
            <w:r w:rsidR="009F7140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2.4 настоящего Регламента для каждого часа расчетного периода, определяются как произведение величины соответствующего сальдо-отклонения и </w:t>
            </w:r>
            <w:r w:rsidRPr="00AB7132">
              <w:rPr>
                <w:rFonts w:ascii="Garamond" w:hAnsi="Garamond"/>
                <w:sz w:val="22"/>
                <w:szCs w:val="22"/>
              </w:rPr>
              <w:t xml:space="preserve">величины </w:t>
            </w:r>
            <w:r w:rsidRPr="00AB7132">
              <w:rPr>
                <w:rFonts w:ascii="Garamond" w:hAnsi="Garamond"/>
                <w:sz w:val="22"/>
                <w:szCs w:val="22"/>
                <w:highlight w:val="yellow"/>
              </w:rPr>
              <w:fldChar w:fldCharType="begin"/>
            </w:r>
            <w:r w:rsidRPr="00AB7132">
              <w:rPr>
                <w:rFonts w:ascii="Garamond" w:hAnsi="Garamond"/>
                <w:sz w:val="22"/>
                <w:szCs w:val="22"/>
                <w:highlight w:val="yellow"/>
              </w:rPr>
              <w:instrText xml:space="preserve"> EQ Т\s(ФСТ;ДДПР ) </w:instrText>
            </w:r>
            <w:r w:rsidRPr="00AB7132">
              <w:rPr>
                <w:rFonts w:ascii="Garamond" w:hAnsi="Garamond"/>
                <w:sz w:val="22"/>
                <w:szCs w:val="22"/>
                <w:highlight w:val="yellow"/>
              </w:rPr>
              <w:fldChar w:fldCharType="end"/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204E1B" w:rsidRPr="00974A23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</w:pP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С\s(треб; ДДПР эксп, 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z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) 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= </w:t>
            </w:r>
            <w:r w:rsidRPr="00974A23">
              <w:rPr>
                <w:position w:val="-14"/>
                <w:highlight w:val="yellow"/>
              </w:rPr>
              <w:object w:dxaOrig="900" w:dyaOrig="400">
                <v:shape id="_x0000_i1033" type="#_x0000_t75" style="width:45.1pt;height:20.05pt" o:ole="">
                  <v:imagedata r:id="rId18" o:title=""/>
                </v:shape>
                <o:OLEObject Type="Embed" ProgID="Equation.3" ShapeID="_x0000_i1033" DrawAspect="Content" ObjectID="_1485936985" r:id="rId22"/>
              </w:objec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* </w:t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fldChar w:fldCharType="begin"/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instrText xml:space="preserve"> EQ Т\s(ФСТ;ДДПР ) </w:instrText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fldChar w:fldCharType="end"/>
            </w:r>
          </w:p>
          <w:p w:rsidR="00204E1B" w:rsidRPr="00974A23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</w:pP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С\s(треб; ДДПР имп, 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z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) 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= </w:t>
            </w:r>
            <w:r w:rsidRPr="00974A23">
              <w:rPr>
                <w:position w:val="-14"/>
                <w:highlight w:val="yellow"/>
              </w:rPr>
              <w:object w:dxaOrig="880" w:dyaOrig="400">
                <v:shape id="_x0000_i1034" type="#_x0000_t75" style="width:44.45pt;height:20.05pt" o:ole="">
                  <v:imagedata r:id="rId20" o:title=""/>
                </v:shape>
                <o:OLEObject Type="Embed" ProgID="Equation.3" ShapeID="_x0000_i1034" DrawAspect="Content" ObjectID="_1485936986" r:id="rId23"/>
              </w:objec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 * </w:t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fldChar w:fldCharType="begin"/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instrText xml:space="preserve"> EQ Т\s(ФСТ;ДДПР ) </w:instrText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fldChar w:fldCharType="end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ab/>
            </w:r>
          </w:p>
          <w:p w:rsidR="00204E1B" w:rsidRPr="00974A23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</w:pP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С\s(об-во; ДДПР эксп, 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z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) 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= </w:t>
            </w:r>
            <w:r w:rsidRPr="00974A23">
              <w:rPr>
                <w:position w:val="-14"/>
                <w:highlight w:val="yellow"/>
              </w:rPr>
              <w:object w:dxaOrig="920" w:dyaOrig="400">
                <v:shape id="_x0000_i1035" type="#_x0000_t75" style="width:45.7pt;height:20.05pt" o:ole="">
                  <v:imagedata r:id="rId14" o:title=""/>
                </v:shape>
                <o:OLEObject Type="Embed" ProgID="Equation.3" ShapeID="_x0000_i1035" DrawAspect="Content" ObjectID="_1485936987" r:id="rId24"/>
              </w:objec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* </w:t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fldChar w:fldCharType="begin"/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instrText xml:space="preserve"> EQ Т\s(ФСТ;ДДПР ) </w:instrText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fldChar w:fldCharType="end"/>
            </w:r>
          </w:p>
          <w:p w:rsidR="00204E1B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sz w:val="22"/>
                <w:szCs w:val="22"/>
              </w:rPr>
            </w:pP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С\s(об-во; ДДПР имп, 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z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) </w:instrTex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= </w:t>
            </w:r>
            <w:r w:rsidRPr="00974A23">
              <w:rPr>
                <w:position w:val="-14"/>
                <w:highlight w:val="yellow"/>
              </w:rPr>
              <w:object w:dxaOrig="880" w:dyaOrig="400">
                <v:shape id="_x0000_i1036" type="#_x0000_t75" style="width:44.45pt;height:20.05pt" o:ole="">
                  <v:imagedata r:id="rId16" o:title=""/>
                </v:shape>
                <o:OLEObject Type="Embed" ProgID="Equation.3" ShapeID="_x0000_i1036" DrawAspect="Content" ObjectID="_1485936988" r:id="rId25"/>
              </w:objec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* </w:t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fldChar w:fldCharType="begin"/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instrText xml:space="preserve"> EQ Т\s(ФСТ;ДДПР ) </w:instrText>
            </w:r>
            <w:r w:rsidRPr="00974A23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fldChar w:fldCharType="end"/>
            </w:r>
          </w:p>
          <w:p w:rsidR="00204E1B" w:rsidRPr="003C3108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t>За расчетный период формируется обязательство и требование в отношении каждо</w:t>
            </w:r>
            <w:r w:rsidRPr="00471DF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го</w:t>
            </w: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71DFC">
              <w:rPr>
                <w:rFonts w:ascii="Garamond" w:hAnsi="Garamond"/>
                <w:color w:val="000000"/>
                <w:sz w:val="22"/>
                <w:szCs w:val="22"/>
              </w:rPr>
              <w:t>зарегистрированной ГТП экспорта</w:t>
            </w: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t xml:space="preserve">-импорта как сумма расчетных показателей стоимости, определенных за </w:t>
            </w: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каждый час расчетного периода</w:t>
            </w:r>
          </w:p>
          <w:p w:rsidR="00204E1B" w:rsidRPr="003C3108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S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\s(треб; ДДПР,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=</w: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\i\su (t=1;m; 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С\s(треб; ДДПР эксп, 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z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) 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+</w: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\i\su (t=1;m; 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С\s(треб; ДДПР имп, 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z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) 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204E1B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S\s(об-во; ДДПР,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=</w: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\i\su (t=1;m; 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С\s(об-во; ДДПР эксп, 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z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) 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+</w: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\i\su (t=1;m; 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С\s(об-во; ДДПР имп, 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z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) </w:instrText>
            </w:r>
            <w:r w:rsidRPr="006D3F4D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204E1B" w:rsidRPr="0012360D" w:rsidRDefault="00204E1B" w:rsidP="00B524F2">
            <w:pPr>
              <w:spacing w:before="120" w:after="12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67" w:type="dxa"/>
          </w:tcPr>
          <w:p w:rsidR="00204E1B" w:rsidRPr="003C3108" w:rsidRDefault="00204E1B" w:rsidP="00B524F2">
            <w:pPr>
              <w:pStyle w:val="20"/>
              <w:keepNext w:val="0"/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5.3. </w:t>
            </w: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Определение расчетных показателей стоимости для держателя договора о параллельной работе </w:t>
            </w:r>
          </w:p>
          <w:p w:rsidR="00204E1B" w:rsidRDefault="00204E1B" w:rsidP="00B524F2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Расчетные показатели стоимости </w: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С\s(треб; ДДПР имп,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, </w: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С\s(об-во; ДДПР эксп,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, </w: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С\s(об-во; ДДПР имп,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, </w: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С\s(треб; ДДПР эксп,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 отклонений -</w:t>
            </w:r>
            <w:r w:rsidRPr="00AB7132">
              <w:rPr>
                <w:position w:val="-14"/>
              </w:rPr>
              <w:object w:dxaOrig="920" w:dyaOrig="400">
                <v:shape id="_x0000_i1037" type="#_x0000_t75" style="width:45.7pt;height:20.05pt" o:ole="">
                  <v:imagedata r:id="rId14" o:title=""/>
                </v:shape>
                <o:OLEObject Type="Embed" ProgID="Equation.3" ShapeID="_x0000_i1037" DrawAspect="Content" ObjectID="_1485936989" r:id="rId26"/>
              </w:objec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B7132">
              <w:rPr>
                <w:position w:val="-14"/>
              </w:rPr>
              <w:object w:dxaOrig="880" w:dyaOrig="400">
                <v:shape id="_x0000_i1038" type="#_x0000_t75" style="width:44.45pt;height:20.05pt" o:ole="">
                  <v:imagedata r:id="rId16" o:title=""/>
                </v:shape>
                <o:OLEObject Type="Embed" ProgID="Equation.3" ShapeID="_x0000_i1038" DrawAspect="Content" ObjectID="_1485936990" r:id="rId27"/>
              </w:objec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B7132">
              <w:rPr>
                <w:position w:val="-14"/>
              </w:rPr>
              <w:object w:dxaOrig="900" w:dyaOrig="400">
                <v:shape id="_x0000_i1039" type="#_x0000_t75" style="width:45.1pt;height:20.05pt" o:ole="">
                  <v:imagedata r:id="rId18" o:title=""/>
                </v:shape>
                <o:OLEObject Type="Embed" ProgID="Equation.3" ShapeID="_x0000_i1039" DrawAspect="Content" ObjectID="_1485936991" r:id="rId28"/>
              </w:objec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B7132">
              <w:rPr>
                <w:position w:val="-14"/>
              </w:rPr>
              <w:object w:dxaOrig="880" w:dyaOrig="400">
                <v:shape id="_x0000_i1040" type="#_x0000_t75" style="width:44.45pt;height:20.05pt" o:ole="">
                  <v:imagedata r:id="rId20" o:title=""/>
                </v:shape>
                <o:OLEObject Type="Embed" ProgID="Equation.3" ShapeID="_x0000_i1040" DrawAspect="Content" ObjectID="_1485936992" r:id="rId29"/>
              </w:objec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>, относимых на параллельную работу ЕЭС России и электроэнергетических систем иностранных государств, рассчитанных в соответствии с п.</w:t>
            </w:r>
            <w:r w:rsidR="009F7140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B7132">
              <w:rPr>
                <w:rFonts w:ascii="Garamond" w:hAnsi="Garamond"/>
                <w:color w:val="000000"/>
                <w:sz w:val="22"/>
                <w:szCs w:val="22"/>
              </w:rPr>
              <w:t xml:space="preserve">2.4 настоящего Регламента для каждого часа расчетного периода, определяются как произведение величины соответствующего сальдо-отклонения и </w:t>
            </w:r>
            <w:r w:rsidRPr="00AB7132">
              <w:rPr>
                <w:rFonts w:ascii="Garamond" w:hAnsi="Garamond"/>
                <w:sz w:val="22"/>
                <w:szCs w:val="22"/>
              </w:rPr>
              <w:t>величины</w:t>
            </w:r>
            <w:r>
              <w:t xml:space="preserve"> </w:t>
            </w:r>
            <w:r w:rsidRPr="006D3F4D">
              <w:rPr>
                <w:position w:val="-14"/>
                <w:highlight w:val="yellow"/>
              </w:rPr>
              <w:object w:dxaOrig="600" w:dyaOrig="400">
                <v:shape id="_x0000_i1041" type="#_x0000_t75" style="width:30.05pt;height:20.05pt" o:ole="">
                  <v:imagedata r:id="rId30" o:title=""/>
                </v:shape>
                <o:OLEObject Type="Embed" ProgID="Equation.3" ShapeID="_x0000_i1041" DrawAspect="Content" ObjectID="_1485936993" r:id="rId31"/>
              </w:object>
            </w:r>
            <w:r w:rsidR="00161252" w:rsidRPr="004B6BB1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:rsidR="00204E1B" w:rsidRPr="00974A23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</w:pP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974A23">
              <w:rPr>
                <w:position w:val="-14"/>
                <w:highlight w:val="yellow"/>
              </w:rPr>
              <w:object w:dxaOrig="3159" w:dyaOrig="400">
                <v:shape id="_x0000_i1042" type="#_x0000_t75" style="width:159.05pt;height:20.05pt" o:ole="">
                  <v:imagedata r:id="rId32" o:title=""/>
                </v:shape>
                <o:OLEObject Type="Embed" ProgID="Equation.3" ShapeID="_x0000_i1042" DrawAspect="Content" ObjectID="_1485936994" r:id="rId33"/>
              </w:object>
            </w:r>
            <w:r w:rsidR="004B6BB1" w:rsidRPr="004B6BB1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204E1B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</w:pP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974A23">
              <w:rPr>
                <w:position w:val="-14"/>
                <w:highlight w:val="yellow"/>
              </w:rPr>
              <w:object w:dxaOrig="3080" w:dyaOrig="400">
                <v:shape id="_x0000_i1043" type="#_x0000_t75" style="width:152.75pt;height:20.05pt" o:ole="">
                  <v:imagedata r:id="rId34" o:title=""/>
                </v:shape>
                <o:OLEObject Type="Embed" ProgID="Equation.3" ShapeID="_x0000_i1043" DrawAspect="Content" ObjectID="_1485936995" r:id="rId35"/>
              </w:object>
            </w:r>
            <w:r w:rsidR="004B6BB1" w:rsidRPr="004B6BB1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  <w:r w:rsidRPr="00974A23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ab/>
            </w:r>
          </w:p>
          <w:p w:rsidR="00204E1B" w:rsidRDefault="00204E1B" w:rsidP="00B524F2">
            <w:pPr>
              <w:widowControl w:val="0"/>
              <w:spacing w:before="120" w:after="120"/>
              <w:jc w:val="both"/>
              <w:rPr>
                <w:highlight w:val="yellow"/>
              </w:rPr>
            </w:pPr>
            <w:r w:rsidRPr="00974A23">
              <w:rPr>
                <w:position w:val="-14"/>
                <w:highlight w:val="yellow"/>
              </w:rPr>
              <w:object w:dxaOrig="3159" w:dyaOrig="400">
                <v:shape id="_x0000_i1044" type="#_x0000_t75" style="width:156.5pt;height:20.05pt" o:ole="">
                  <v:imagedata r:id="rId36" o:title=""/>
                </v:shape>
                <o:OLEObject Type="Embed" ProgID="Equation.3" ShapeID="_x0000_i1044" DrawAspect="Content" ObjectID="_1485936996" r:id="rId37"/>
              </w:object>
            </w:r>
            <w:r w:rsidR="004B6BB1" w:rsidRPr="004B6BB1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204E1B" w:rsidRPr="00A121E5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</w:pPr>
            <w:r w:rsidRPr="00974A23">
              <w:rPr>
                <w:position w:val="-14"/>
                <w:highlight w:val="yellow"/>
              </w:rPr>
              <w:object w:dxaOrig="3080" w:dyaOrig="400">
                <v:shape id="_x0000_i1045" type="#_x0000_t75" style="width:152.75pt;height:20.05pt" o:ole="">
                  <v:imagedata r:id="rId38" o:title=""/>
                </v:shape>
                <o:OLEObject Type="Embed" ProgID="Equation.3" ShapeID="_x0000_i1045" DrawAspect="Content" ObjectID="_1485936997" r:id="rId39"/>
              </w:object>
            </w:r>
            <w:r w:rsidR="004B6BB1" w:rsidRPr="004B6BB1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204E1B" w:rsidRPr="003C3108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t>За расчетный период формируется обязательство и требование в отношении каждо</w:t>
            </w:r>
            <w:r w:rsidRPr="00471DF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й</w:t>
            </w: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71DFC">
              <w:rPr>
                <w:rFonts w:ascii="Garamond" w:hAnsi="Garamond"/>
                <w:color w:val="000000"/>
                <w:sz w:val="22"/>
                <w:szCs w:val="22"/>
              </w:rPr>
              <w:t>зарегистрированной ГТП</w:t>
            </w:r>
            <w:r w:rsidRPr="003C3108">
              <w:rPr>
                <w:rFonts w:ascii="Garamond" w:hAnsi="Garamond"/>
                <w:color w:val="000000"/>
                <w:sz w:val="22"/>
                <w:szCs w:val="22"/>
              </w:rPr>
              <w:t xml:space="preserve"> экспорта-импорта как сумма расчетных показателей стоимости, определенных за каждый час расчетного периода</w:t>
            </w:r>
            <w:r w:rsidR="001123E5" w:rsidRPr="001123E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:</w:t>
            </w:r>
          </w:p>
          <w:p w:rsidR="00204E1B" w:rsidRPr="003C3108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lastRenderedPageBreak/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S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\s(треб; ДДПР,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=</w: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\i\su (t=1;m; 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6D3F4D">
              <w:rPr>
                <w:position w:val="-14"/>
                <w:highlight w:val="yellow"/>
              </w:rPr>
              <w:object w:dxaOrig="1340" w:dyaOrig="400">
                <v:shape id="_x0000_i1046" type="#_x0000_t75" style="width:67pt;height:20.05pt" o:ole="">
                  <v:imagedata r:id="rId40" o:title=""/>
                </v:shape>
                <o:OLEObject Type="Embed" ProgID="Equation.3" ShapeID="_x0000_i1046" DrawAspect="Content" ObjectID="_1485936998" r:id="rId41"/>
              </w:objec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+</w: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\i\su (t=1;m; 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6D3F4D">
              <w:rPr>
                <w:position w:val="-14"/>
                <w:highlight w:val="yellow"/>
              </w:rPr>
              <w:object w:dxaOrig="1300" w:dyaOrig="400">
                <v:shape id="_x0000_i1047" type="#_x0000_t75" style="width:65.1pt;height:20.05pt" o:ole="">
                  <v:imagedata r:id="rId42" o:title=""/>
                </v:shape>
                <o:OLEObject Type="Embed" ProgID="Equation.3" ShapeID="_x0000_i1047" DrawAspect="Content" ObjectID="_1485936999" r:id="rId43"/>
              </w:object>
            </w:r>
            <w:r w:rsidRPr="00AB7132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204E1B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S\s(об-во; ДДПР,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z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=</w: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\i\su (t=1;m; 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6D3F4D">
              <w:rPr>
                <w:position w:val="-14"/>
                <w:highlight w:val="yellow"/>
              </w:rPr>
              <w:object w:dxaOrig="1340" w:dyaOrig="400">
                <v:shape id="_x0000_i1048" type="#_x0000_t75" style="width:67pt;height:20.05pt" o:ole="">
                  <v:imagedata r:id="rId44" o:title=""/>
                </v:shape>
                <o:OLEObject Type="Embed" ProgID="Equation.3" ShapeID="_x0000_i1048" DrawAspect="Content" ObjectID="_1485937000" r:id="rId45"/>
              </w:objec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+</w: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\i\su (t=1;m;  ) </w:instrText>
            </w:r>
            <w:r w:rsidRPr="003C3108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6D3F4D">
              <w:rPr>
                <w:position w:val="-14"/>
                <w:highlight w:val="yellow"/>
              </w:rPr>
              <w:object w:dxaOrig="1300" w:dyaOrig="400">
                <v:shape id="_x0000_i1049" type="#_x0000_t75" style="width:65.1pt;height:20.05pt" o:ole="">
                  <v:imagedata r:id="rId46" o:title=""/>
                </v:shape>
                <o:OLEObject Type="Embed" ProgID="Equation.3" ShapeID="_x0000_i1049" DrawAspect="Content" ObjectID="_1485937001" r:id="rId47"/>
              </w:object>
            </w:r>
            <w:r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204E1B" w:rsidRPr="00A121E5" w:rsidRDefault="00204E1B" w:rsidP="00B524F2">
            <w:pPr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  <w:lang w:val="en-US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</w:tr>
    </w:tbl>
    <w:p w:rsidR="00A937D9" w:rsidRPr="00A937D9" w:rsidRDefault="00A937D9" w:rsidP="00745D2F">
      <w:pPr>
        <w:widowControl w:val="0"/>
        <w:jc w:val="right"/>
        <w:rPr>
          <w:rFonts w:ascii="Garamond" w:hAnsi="Garamond"/>
          <w:b/>
        </w:rPr>
      </w:pPr>
    </w:p>
    <w:p w:rsidR="00745D2F" w:rsidRDefault="00745D2F" w:rsidP="00745D2F">
      <w:pPr>
        <w:widowControl w:val="0"/>
        <w:jc w:val="right"/>
        <w:rPr>
          <w:rFonts w:ascii="Garamond" w:hAnsi="Garamond"/>
          <w:b/>
          <w:sz w:val="28"/>
          <w:szCs w:val="28"/>
          <w:lang w:val="smn-FI"/>
        </w:rPr>
      </w:pPr>
      <w:r w:rsidRPr="00A82A7B">
        <w:rPr>
          <w:rFonts w:ascii="Garamond" w:hAnsi="Garamond"/>
          <w:b/>
          <w:sz w:val="28"/>
          <w:szCs w:val="28"/>
        </w:rPr>
        <w:t>Приложение №</w:t>
      </w:r>
      <w:r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  <w:lang w:val="smn-FI"/>
        </w:rPr>
        <w:t>8.1.2</w:t>
      </w:r>
    </w:p>
    <w:p w:rsidR="00B524F2" w:rsidRPr="00B524F2" w:rsidRDefault="00B524F2" w:rsidP="00745D2F">
      <w:pPr>
        <w:widowControl w:val="0"/>
        <w:jc w:val="right"/>
        <w:rPr>
          <w:rFonts w:ascii="Garamond" w:hAnsi="Garamond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8"/>
      </w:tblGrid>
      <w:tr w:rsidR="00745D2F" w:rsidRPr="00B7505D" w:rsidTr="00F1717B">
        <w:trPr>
          <w:trHeight w:val="928"/>
        </w:trPr>
        <w:tc>
          <w:tcPr>
            <w:tcW w:w="14688" w:type="dxa"/>
          </w:tcPr>
          <w:p w:rsidR="00745D2F" w:rsidRPr="00B7505D" w:rsidRDefault="00745D2F" w:rsidP="00B524F2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b/>
              </w:rPr>
            </w:pPr>
            <w:r w:rsidRPr="00B7505D">
              <w:rPr>
                <w:rFonts w:ascii="Garamond" w:hAnsi="Garamond"/>
                <w:b/>
              </w:rPr>
              <w:t xml:space="preserve">Инициатор: </w:t>
            </w:r>
            <w:r w:rsidRPr="00B7505D">
              <w:rPr>
                <w:rFonts w:ascii="Garamond" w:hAnsi="Garamond"/>
              </w:rPr>
              <w:t>НП «Совет рынка».</w:t>
            </w:r>
          </w:p>
          <w:p w:rsidR="00745D2F" w:rsidRPr="001F1AD3" w:rsidRDefault="00745D2F" w:rsidP="00B524F2">
            <w:pPr>
              <w:jc w:val="both"/>
              <w:rPr>
                <w:rFonts w:ascii="Garamond" w:hAnsi="Garamond"/>
              </w:rPr>
            </w:pPr>
            <w:r w:rsidRPr="00B7505D">
              <w:rPr>
                <w:rFonts w:ascii="Garamond" w:hAnsi="Garamond"/>
                <w:b/>
              </w:rPr>
              <w:t xml:space="preserve">Обоснование: </w:t>
            </w:r>
            <w:r w:rsidR="00B524F2">
              <w:rPr>
                <w:rFonts w:ascii="Garamond" w:hAnsi="Garamond" w:cs="Garamond"/>
              </w:rPr>
              <w:t>п</w:t>
            </w:r>
            <w:r w:rsidRPr="00EE52A6">
              <w:rPr>
                <w:rFonts w:ascii="Garamond" w:hAnsi="Garamond"/>
              </w:rPr>
              <w:t>редлагается при определении ставок на отклонения по внешней инициативе в сторону снижения экспорта (для ГТП экспорта, зарегистрированных на актуализируемых сечениях</w:t>
            </w:r>
            <w:r w:rsidR="00B524F2">
              <w:rPr>
                <w:rFonts w:ascii="Garamond" w:hAnsi="Garamond"/>
              </w:rPr>
              <w:t>)</w:t>
            </w:r>
            <w:r w:rsidRPr="00EE52A6">
              <w:rPr>
                <w:rFonts w:ascii="Garamond" w:hAnsi="Garamond"/>
              </w:rPr>
              <w:t xml:space="preserve"> не использовать заявленную участником цену на покупку и определять ставку на отклонение исходя из индикатора стоимости БР.</w:t>
            </w:r>
          </w:p>
          <w:p w:rsidR="00745D2F" w:rsidRPr="00B7505D" w:rsidRDefault="00745D2F" w:rsidP="00B524F2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B7505D">
              <w:rPr>
                <w:rFonts w:ascii="Garamond" w:hAnsi="Garamond"/>
                <w:b/>
              </w:rPr>
              <w:t>Д</w:t>
            </w:r>
            <w:r w:rsidR="00B524F2">
              <w:rPr>
                <w:rFonts w:ascii="Garamond" w:hAnsi="Garamond"/>
                <w:b/>
              </w:rPr>
              <w:t>ата вступления в силу:</w:t>
            </w:r>
            <w:r>
              <w:rPr>
                <w:rFonts w:ascii="Garamond" w:hAnsi="Garamond"/>
                <w:b/>
              </w:rPr>
              <w:t xml:space="preserve"> </w:t>
            </w:r>
            <w:r w:rsidRPr="00B7505D">
              <w:rPr>
                <w:rFonts w:ascii="Garamond" w:hAnsi="Garamond"/>
              </w:rPr>
              <w:t xml:space="preserve">1 </w:t>
            </w:r>
            <w:r w:rsidR="00F77D66">
              <w:rPr>
                <w:rFonts w:ascii="Garamond" w:hAnsi="Garamond"/>
              </w:rPr>
              <w:t>мая</w:t>
            </w:r>
            <w:r w:rsidRPr="00B7505D">
              <w:rPr>
                <w:rFonts w:ascii="Garamond" w:hAnsi="Garamond"/>
              </w:rPr>
              <w:t xml:space="preserve"> 2015 года.</w:t>
            </w:r>
          </w:p>
        </w:tc>
      </w:tr>
    </w:tbl>
    <w:p w:rsidR="00745D2F" w:rsidRPr="00B524F2" w:rsidRDefault="00745D2F" w:rsidP="00745D2F">
      <w:pPr>
        <w:pStyle w:val="subclauseindent"/>
        <w:spacing w:before="0" w:after="0"/>
        <w:ind w:left="0"/>
        <w:rPr>
          <w:rFonts w:ascii="Garamond" w:hAnsi="Garamond"/>
          <w:b/>
          <w:sz w:val="24"/>
          <w:szCs w:val="24"/>
          <w:lang w:val="ru-RU"/>
        </w:rPr>
      </w:pPr>
    </w:p>
    <w:p w:rsidR="00745D2F" w:rsidRPr="00AA0591" w:rsidRDefault="00745D2F" w:rsidP="00B524F2">
      <w:pPr>
        <w:pStyle w:val="subclauseindent"/>
        <w:spacing w:before="0" w:after="0"/>
        <w:ind w:left="-142"/>
        <w:jc w:val="left"/>
        <w:rPr>
          <w:rFonts w:ascii="Garamond" w:hAnsi="Garamond"/>
          <w:b/>
          <w:sz w:val="26"/>
          <w:szCs w:val="26"/>
          <w:lang w:val="ru-RU"/>
        </w:rPr>
      </w:pPr>
      <w:r>
        <w:rPr>
          <w:rFonts w:ascii="Garamond" w:hAnsi="Garamond"/>
          <w:b/>
          <w:sz w:val="26"/>
          <w:szCs w:val="26"/>
          <w:lang w:val="ru-RU"/>
        </w:rPr>
        <w:t xml:space="preserve">Предложения по изменениям </w:t>
      </w:r>
      <w:r w:rsidRPr="00AA0591">
        <w:rPr>
          <w:rFonts w:ascii="Garamond" w:hAnsi="Garamond"/>
          <w:b/>
          <w:sz w:val="26"/>
          <w:szCs w:val="26"/>
          <w:lang w:val="ru-RU"/>
        </w:rPr>
        <w:t xml:space="preserve">и дополнениям в </w:t>
      </w:r>
      <w:r w:rsidRPr="00CF0085">
        <w:rPr>
          <w:rFonts w:ascii="Garamond" w:hAnsi="Garamond"/>
          <w:b/>
          <w:color w:val="000000"/>
          <w:sz w:val="26"/>
          <w:szCs w:val="26"/>
          <w:lang w:val="ru-RU"/>
        </w:rPr>
        <w:t>РЕГЛАМЕНТ О</w:t>
      </w:r>
      <w:r>
        <w:rPr>
          <w:rFonts w:ascii="Garamond" w:hAnsi="Garamond"/>
          <w:b/>
          <w:color w:val="000000"/>
          <w:sz w:val="26"/>
          <w:szCs w:val="26"/>
          <w:lang w:val="ru-RU"/>
        </w:rPr>
        <w:t>ПРЕДЕЛЕНИЯ ОБЪЕМОВ, ИНИЦИАТИВ И </w:t>
      </w:r>
      <w:r w:rsidRPr="00CF0085">
        <w:rPr>
          <w:rFonts w:ascii="Garamond" w:hAnsi="Garamond"/>
          <w:b/>
          <w:color w:val="000000"/>
          <w:sz w:val="26"/>
          <w:szCs w:val="26"/>
          <w:lang w:val="ru-RU"/>
        </w:rPr>
        <w:t xml:space="preserve">СТОИМОСТИ ОТКЛОНЕНИЙ </w:t>
      </w:r>
      <w:r w:rsidRPr="00AA0591">
        <w:rPr>
          <w:rFonts w:ascii="Garamond" w:hAnsi="Garamond"/>
          <w:b/>
          <w:sz w:val="26"/>
          <w:szCs w:val="26"/>
          <w:lang w:val="ru-RU"/>
        </w:rPr>
        <w:t>(Приложение №</w:t>
      </w:r>
      <w:r w:rsidR="0092545F">
        <w:rPr>
          <w:rFonts w:ascii="Garamond" w:hAnsi="Garamond"/>
          <w:b/>
          <w:sz w:val="26"/>
          <w:szCs w:val="26"/>
          <w:lang w:val="ru-RU"/>
        </w:rPr>
        <w:t xml:space="preserve"> 12 к Договору о присоединении </w:t>
      </w:r>
      <w:r w:rsidRPr="00AA0591">
        <w:rPr>
          <w:rFonts w:ascii="Garamond" w:hAnsi="Garamond"/>
          <w:b/>
          <w:sz w:val="26"/>
          <w:szCs w:val="26"/>
          <w:lang w:val="ru-RU"/>
        </w:rPr>
        <w:t>к торговой системе оптового рынка)</w:t>
      </w:r>
    </w:p>
    <w:p w:rsidR="00745D2F" w:rsidRPr="002B5432" w:rsidRDefault="00745D2F" w:rsidP="00745D2F">
      <w:pPr>
        <w:widowControl w:val="0"/>
        <w:rPr>
          <w:rFonts w:ascii="Garamond" w:hAnsi="Garamond"/>
        </w:rPr>
      </w:pPr>
    </w:p>
    <w:tbl>
      <w:tblPr>
        <w:tblW w:w="147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2"/>
        <w:gridCol w:w="6253"/>
        <w:gridCol w:w="7067"/>
      </w:tblGrid>
      <w:tr w:rsidR="00745D2F" w:rsidRPr="002B5432" w:rsidTr="00B524F2">
        <w:tc>
          <w:tcPr>
            <w:tcW w:w="1402" w:type="dxa"/>
            <w:vAlign w:val="center"/>
          </w:tcPr>
          <w:p w:rsidR="00745D2F" w:rsidRDefault="00745D2F" w:rsidP="00F1717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№</w:t>
            </w: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  <w:p w:rsidR="00745D2F" w:rsidRPr="002B5432" w:rsidRDefault="00745D2F" w:rsidP="00F1717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253" w:type="dxa"/>
          </w:tcPr>
          <w:p w:rsidR="00745D2F" w:rsidRPr="008C14FB" w:rsidRDefault="00745D2F" w:rsidP="00F1717B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745D2F" w:rsidRPr="002B5432" w:rsidRDefault="00745D2F" w:rsidP="00F1717B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67" w:type="dxa"/>
          </w:tcPr>
          <w:p w:rsidR="00745D2F" w:rsidRPr="002B5432" w:rsidRDefault="00745D2F" w:rsidP="00F1717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745D2F" w:rsidRPr="002B5432" w:rsidRDefault="00745D2F" w:rsidP="00F1717B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2B5432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A937D9" w:rsidRPr="00F51D4C" w:rsidTr="00B524F2">
        <w:trPr>
          <w:trHeight w:val="350"/>
        </w:trPr>
        <w:tc>
          <w:tcPr>
            <w:tcW w:w="1402" w:type="dxa"/>
            <w:vAlign w:val="center"/>
          </w:tcPr>
          <w:p w:rsidR="00A937D9" w:rsidRDefault="00A937D9" w:rsidP="0092545F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2.4.6</w:t>
            </w:r>
          </w:p>
        </w:tc>
        <w:tc>
          <w:tcPr>
            <w:tcW w:w="6253" w:type="dxa"/>
          </w:tcPr>
          <w:p w:rsidR="00A937D9" w:rsidRPr="00114DF0" w:rsidRDefault="00A937D9" w:rsidP="00A937D9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446BA0">
              <w:rPr>
                <w:rFonts w:ascii="Garamond" w:hAnsi="Garamond"/>
                <w:sz w:val="22"/>
                <w:szCs w:val="22"/>
              </w:rPr>
              <w:t xml:space="preserve">2.4.6. </w:t>
            </w:r>
            <w:r w:rsidRPr="00114DF0">
              <w:rPr>
                <w:rFonts w:ascii="Garamond" w:hAnsi="Garamond"/>
                <w:b/>
                <w:sz w:val="22"/>
                <w:szCs w:val="22"/>
              </w:rPr>
              <w:t xml:space="preserve">Порядок расчета величины отклонений по ГТП экспорта/импорта и фактических почасовых объемов поставки по ГТП экспорта/импорта при возникновении в отдельных </w:t>
            </w:r>
            <w:proofErr w:type="spellStart"/>
            <w:r w:rsidRPr="00114DF0">
              <w:rPr>
                <w:rFonts w:ascii="Garamond" w:hAnsi="Garamond"/>
                <w:b/>
                <w:sz w:val="22"/>
                <w:szCs w:val="22"/>
              </w:rPr>
              <w:t>энергорайонах</w:t>
            </w:r>
            <w:proofErr w:type="spellEnd"/>
            <w:r w:rsidRPr="00114DF0">
              <w:rPr>
                <w:rFonts w:ascii="Garamond" w:hAnsi="Garamond"/>
                <w:b/>
                <w:sz w:val="22"/>
                <w:szCs w:val="22"/>
              </w:rPr>
              <w:t xml:space="preserve"> на территории России режима изолированной от ЕЭС России работы (параллельной с зарубежной энергосистемой или ее частью) </w:t>
            </w:r>
          </w:p>
          <w:p w:rsidR="00A937D9" w:rsidRPr="00446BA0" w:rsidRDefault="00A937D9" w:rsidP="00A937D9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46BA0">
              <w:rPr>
                <w:rFonts w:ascii="Garamond" w:hAnsi="Garamond"/>
                <w:sz w:val="22"/>
                <w:szCs w:val="22"/>
              </w:rPr>
              <w:t xml:space="preserve">2.4.6.1. В случае если КО был зафиксирован режим поставки электроэнергии из зарубежной энергосистемы в какой-либо </w:t>
            </w:r>
            <w:proofErr w:type="spellStart"/>
            <w:r w:rsidRPr="00446BA0">
              <w:rPr>
                <w:rFonts w:ascii="Garamond" w:hAnsi="Garamond"/>
                <w:sz w:val="22"/>
                <w:szCs w:val="22"/>
              </w:rPr>
              <w:t>энергорайон</w:t>
            </w:r>
            <w:proofErr w:type="spellEnd"/>
            <w:r w:rsidRPr="00446BA0">
              <w:rPr>
                <w:rFonts w:ascii="Garamond" w:hAnsi="Garamond"/>
                <w:sz w:val="22"/>
                <w:szCs w:val="22"/>
              </w:rPr>
              <w:t xml:space="preserve"> на территории России, работающий изолированно от ЕЭС России (при отключении всех электрических связей с ЕЭС России) и параллельно с зарубежной энергосистемой, поставка электроэнергии в который осуществлялась через сечение экспорта-импорта, или были получены данные от СО о </w:t>
            </w:r>
            <w:r w:rsidRPr="00446BA0">
              <w:rPr>
                <w:rFonts w:ascii="Garamond" w:hAnsi="Garamond"/>
                <w:sz w:val="22"/>
                <w:szCs w:val="22"/>
              </w:rPr>
              <w:lastRenderedPageBreak/>
              <w:t>регистрации такого режима, расчет отклонений по ГТП экспорта/импорта, зарегистрированным на данном сечении экспорта-импорта, производится следующим образом</w:t>
            </w:r>
            <w:r w:rsidRPr="004B6BB1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:rsidR="00A937D9" w:rsidRPr="00446BA0" w:rsidRDefault="00A937D9" w:rsidP="00A937D9">
            <w:pPr>
              <w:pStyle w:val="4"/>
              <w:widowControl w:val="0"/>
              <w:spacing w:before="120" w:after="120"/>
              <w:jc w:val="both"/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</w:rPr>
            </w:pPr>
            <w:r w:rsidRPr="00446BA0"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</w:rPr>
              <w:t xml:space="preserve">Если в отношении данного часа для данного сечения экспорта-импорта не была получена от ДДПР в соответствии с подпунктом 3) п. 2.4.1 настоящего Регламента информация о составляющих величин отклонений, относимых на внешнюю инициативу, </w:t>
            </w:r>
            <w:r w:rsidRPr="00446BA0"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  <w:highlight w:val="yellow"/>
              </w:rPr>
              <w:t>а также данные о величинах отклонений, обусловленных событиями, указанными в п. 2.4.3.4 настоящего Регламента и для ГТП экспорта и ГТП импорта, зарегистрированных на этом сечении экспорта-импорта,</w:t>
            </w:r>
            <w:r w:rsidRPr="00446BA0"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</w:rPr>
              <w:t xml:space="preserve"> для данного часа:</w:t>
            </w:r>
          </w:p>
          <w:p w:rsidR="00A937D9" w:rsidRPr="000D1CD6" w:rsidRDefault="00A937D9" w:rsidP="00A937D9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46BA0">
              <w:rPr>
                <w:rFonts w:ascii="Garamond" w:hAnsi="Garamond" w:cs="Garamond"/>
                <w:bCs/>
                <w:sz w:val="22"/>
                <w:szCs w:val="22"/>
              </w:rPr>
              <w:t>…</w:t>
            </w:r>
          </w:p>
        </w:tc>
        <w:tc>
          <w:tcPr>
            <w:tcW w:w="7067" w:type="dxa"/>
          </w:tcPr>
          <w:p w:rsidR="00A937D9" w:rsidRPr="00446BA0" w:rsidRDefault="00A937D9" w:rsidP="00A937D9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46BA0">
              <w:rPr>
                <w:rFonts w:ascii="Garamond" w:hAnsi="Garamond"/>
                <w:sz w:val="22"/>
                <w:szCs w:val="22"/>
              </w:rPr>
              <w:lastRenderedPageBreak/>
              <w:t xml:space="preserve">2.4.6. </w:t>
            </w:r>
            <w:r w:rsidRPr="00114DF0">
              <w:rPr>
                <w:rFonts w:ascii="Garamond" w:hAnsi="Garamond"/>
                <w:b/>
                <w:sz w:val="22"/>
                <w:szCs w:val="22"/>
              </w:rPr>
              <w:t xml:space="preserve">Порядок расчета величины отклонений по ГТП экспорта/импорта и фактических почасовых объемов поставки по ГТП экспорта/импорта при возникновении в отдельных </w:t>
            </w:r>
            <w:proofErr w:type="spellStart"/>
            <w:r w:rsidRPr="00114DF0">
              <w:rPr>
                <w:rFonts w:ascii="Garamond" w:hAnsi="Garamond"/>
                <w:b/>
                <w:sz w:val="22"/>
                <w:szCs w:val="22"/>
              </w:rPr>
              <w:t>энергорайонах</w:t>
            </w:r>
            <w:proofErr w:type="spellEnd"/>
            <w:r w:rsidRPr="00114DF0">
              <w:rPr>
                <w:rFonts w:ascii="Garamond" w:hAnsi="Garamond"/>
                <w:b/>
                <w:sz w:val="22"/>
                <w:szCs w:val="22"/>
              </w:rPr>
              <w:t xml:space="preserve"> на территории России режима изолированной от ЕЭС России работы (параллельной с зарубежной энергосистемой или ее частью) </w:t>
            </w:r>
          </w:p>
          <w:p w:rsidR="00A937D9" w:rsidRPr="00446BA0" w:rsidRDefault="00A937D9" w:rsidP="00A937D9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46BA0">
              <w:rPr>
                <w:rFonts w:ascii="Garamond" w:hAnsi="Garamond"/>
                <w:sz w:val="22"/>
                <w:szCs w:val="22"/>
              </w:rPr>
              <w:t xml:space="preserve">2.4.6.1. В случае если КО был зафиксирован режим поставки электроэнергии из зарубежной энергосистемы в какой-либо </w:t>
            </w:r>
            <w:proofErr w:type="spellStart"/>
            <w:r w:rsidRPr="00446BA0">
              <w:rPr>
                <w:rFonts w:ascii="Garamond" w:hAnsi="Garamond"/>
                <w:sz w:val="22"/>
                <w:szCs w:val="22"/>
              </w:rPr>
              <w:t>энергорайон</w:t>
            </w:r>
            <w:proofErr w:type="spellEnd"/>
            <w:r w:rsidRPr="00446BA0">
              <w:rPr>
                <w:rFonts w:ascii="Garamond" w:hAnsi="Garamond"/>
                <w:sz w:val="22"/>
                <w:szCs w:val="22"/>
              </w:rPr>
              <w:t xml:space="preserve"> на территории России, работающий изолированно от ЕЭС России (при отключении всех электрических связей с ЕЭС России) и параллельно с зарубежной энергосистемой, поставка электроэнергии в который осуществлялась через сечение экспорта-импорта, или были получены данные от СО о регистрации такого режима, расчет отклонений по ГТП </w:t>
            </w:r>
            <w:r w:rsidRPr="00446BA0">
              <w:rPr>
                <w:rFonts w:ascii="Garamond" w:hAnsi="Garamond"/>
                <w:sz w:val="22"/>
                <w:szCs w:val="22"/>
              </w:rPr>
              <w:lastRenderedPageBreak/>
              <w:t>экспорта/импорта, зарегистрированным на данном сечении экспорта-импорта,</w:t>
            </w:r>
            <w:r w:rsidR="004B6BB1">
              <w:rPr>
                <w:rFonts w:ascii="Garamond" w:hAnsi="Garamond"/>
                <w:sz w:val="22"/>
                <w:szCs w:val="22"/>
              </w:rPr>
              <w:t xml:space="preserve"> производится следующим образом</w:t>
            </w:r>
            <w:r w:rsidR="004B6BB1" w:rsidRPr="004B6BB1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A937D9" w:rsidRPr="00446BA0" w:rsidRDefault="00A937D9" w:rsidP="00A937D9">
            <w:pPr>
              <w:pStyle w:val="4"/>
              <w:widowControl w:val="0"/>
              <w:spacing w:before="120" w:after="120"/>
              <w:jc w:val="both"/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</w:rPr>
            </w:pPr>
            <w:r w:rsidRPr="00446BA0"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</w:rPr>
              <w:t>Если в отношении данного часа для данного сечения экспорта-импорта не была получена от ДДПР в соответствии с подпунктом 3) п. 2.4.1 настоящего Регламента информация о составляющих величин отклонений, о</w:t>
            </w:r>
            <w:r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</w:rPr>
              <w:t>тносимых на внешнюю инициативу</w:t>
            </w:r>
            <w:r w:rsidRPr="00446BA0"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</w:rPr>
              <w:t>, для данного часа:</w:t>
            </w:r>
          </w:p>
          <w:p w:rsidR="00A937D9" w:rsidRPr="000D1CD6" w:rsidRDefault="00A937D9" w:rsidP="00A937D9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46BA0">
              <w:rPr>
                <w:rFonts w:ascii="Garamond" w:hAnsi="Garamond" w:cs="Garamond"/>
                <w:bCs/>
                <w:sz w:val="22"/>
                <w:szCs w:val="22"/>
              </w:rPr>
              <w:t>…</w:t>
            </w:r>
          </w:p>
        </w:tc>
      </w:tr>
      <w:tr w:rsidR="00745D2F" w:rsidRPr="00F51D4C" w:rsidTr="00B524F2">
        <w:trPr>
          <w:trHeight w:val="350"/>
        </w:trPr>
        <w:tc>
          <w:tcPr>
            <w:tcW w:w="1402" w:type="dxa"/>
            <w:vAlign w:val="center"/>
          </w:tcPr>
          <w:p w:rsidR="00745D2F" w:rsidRPr="00471DFC" w:rsidRDefault="00745D2F" w:rsidP="0092545F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4.3.4.9</w:t>
            </w:r>
          </w:p>
        </w:tc>
        <w:tc>
          <w:tcPr>
            <w:tcW w:w="6253" w:type="dxa"/>
          </w:tcPr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color w:val="000000"/>
                <w:sz w:val="22"/>
                <w:szCs w:val="22"/>
              </w:rPr>
              <w:t xml:space="preserve">4.3.4.9. Для </w:t>
            </w:r>
            <w:r w:rsidRPr="000D1CD6">
              <w:rPr>
                <w:rFonts w:ascii="Garamond" w:hAnsi="Garamond"/>
                <w:sz w:val="22"/>
                <w:szCs w:val="22"/>
              </w:rPr>
              <w:t xml:space="preserve">ГТП экспорта, зарегистрированных на сечениях экспорта-импорта, в отношении </w:t>
            </w:r>
            <w:r w:rsidRPr="000D1CD6">
              <w:rPr>
                <w:rFonts w:ascii="Garamond" w:hAnsi="Garamond"/>
                <w:bCs/>
                <w:iCs/>
                <w:sz w:val="22"/>
                <w:szCs w:val="22"/>
              </w:rPr>
              <w:t xml:space="preserve">которых выполнено условие, указанное в п. 6.2 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0D1CD6">
              <w:rPr>
                <w:rFonts w:ascii="Garamond" w:hAnsi="Garamond"/>
                <w:sz w:val="22"/>
                <w:szCs w:val="22"/>
              </w:rPr>
              <w:t xml:space="preserve"> (Приложение № 15 к 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0D1CD6">
              <w:rPr>
                <w:rFonts w:ascii="Garamond" w:hAnsi="Garamond"/>
                <w:sz w:val="22"/>
                <w:szCs w:val="22"/>
              </w:rPr>
              <w:t>)</w:t>
            </w:r>
            <w:r w:rsidRPr="000D1CD6">
              <w:rPr>
                <w:rFonts w:ascii="Garamond" w:hAnsi="Garamond"/>
                <w:bCs/>
                <w:iCs/>
                <w:sz w:val="22"/>
                <w:szCs w:val="22"/>
              </w:rPr>
              <w:t xml:space="preserve">, </w:t>
            </w:r>
            <w:r w:rsidRPr="000D1CD6">
              <w:rPr>
                <w:rFonts w:ascii="Garamond" w:hAnsi="Garamond"/>
                <w:sz w:val="22"/>
                <w:szCs w:val="22"/>
              </w:rPr>
              <w:t>и в отношении которых в соответствии с разделом 3 настоящего Регламента сформирована ценовая заявка в отношении данного часа операционных суток</w:t>
            </w:r>
            <w:r w:rsidRPr="000D1CD6">
              <w:rPr>
                <w:rFonts w:ascii="Garamond" w:hAnsi="Garamond"/>
                <w:bCs/>
                <w:iCs/>
                <w:sz w:val="22"/>
                <w:szCs w:val="22"/>
              </w:rPr>
              <w:t xml:space="preserve">, </w:t>
            </w:r>
            <w:r w:rsidRPr="000D1CD6">
              <w:rPr>
                <w:rFonts w:ascii="Garamond" w:hAnsi="Garamond"/>
                <w:color w:val="000000"/>
                <w:sz w:val="22"/>
                <w:szCs w:val="22"/>
              </w:rPr>
              <w:t xml:space="preserve">ставка, применяемая для определения расчетных показателей стоимости составляющей величины отклонения по внешней инициативе в сторону снижения </w:t>
            </w:r>
            <w:r w:rsidRPr="000D1CD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определяется на каждый час расчетного периода как максимальная величина </w:t>
            </w:r>
            <w:r w:rsidRPr="001123E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из индикатора диспетчерских объемов для данной ГТП экспорта (</w:t>
            </w:r>
            <w:r w:rsidRPr="001123E5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1123E5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i\s( ; i, p) </w:instrText>
            </w:r>
            <w:r w:rsidRPr="001123E5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1123E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) и </w:t>
            </w:r>
            <w:r w:rsidRPr="001123E5">
              <w:rPr>
                <w:rFonts w:ascii="Garamond" w:hAnsi="Garamond"/>
                <w:sz w:val="22"/>
                <w:szCs w:val="22"/>
                <w:highlight w:val="yellow"/>
              </w:rPr>
              <w:t xml:space="preserve">соответствующей </w:t>
            </w:r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fldChar w:fldCharType="begin"/>
            </w:r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instrText xml:space="preserve"> EQ Т\s( ;заявл) </w:instrText>
            </w:r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fldChar w:fldCharType="end"/>
            </w:r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t xml:space="preserve">), определенной согласно разделу 3 </w:t>
            </w:r>
            <w:r w:rsidRPr="000D1CD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настоящего Регламента</w:t>
            </w:r>
            <w:r w:rsidRPr="000D1CD6">
              <w:rPr>
                <w:rFonts w:ascii="Garamond" w:hAnsi="Garamond"/>
                <w:color w:val="000000"/>
                <w:sz w:val="22"/>
                <w:szCs w:val="22"/>
              </w:rPr>
              <w:t xml:space="preserve"> : </w:t>
            </w:r>
          </w:p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Т\s(ИВ1(-); 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MAX(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i\s( ; i, p)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, 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Т\s( ;заявл)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)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Т\s(ИВ0(-); 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MAX(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i\s( ; i, p)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,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Т\s( ;заявл)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)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Т\s(ИВА(-); 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MAX(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i\s( ; i, p)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,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Т\s( ;заявл)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)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lastRenderedPageBreak/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Т\s(ИВ(-); 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MAX(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i\s( ; i, p)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,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Т\s( ;заявл)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)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b/>
                <w:i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noProof/>
                <w:position w:val="-14"/>
                <w:sz w:val="22"/>
                <w:szCs w:val="22"/>
              </w:rPr>
              <w:drawing>
                <wp:inline distT="0" distB="0" distL="0" distR="0" wp14:anchorId="3BDC5E8C" wp14:editId="1023E2CD">
                  <wp:extent cx="1257935" cy="336550"/>
                  <wp:effectExtent l="19050" t="0" r="0" b="0"/>
                  <wp:docPr id="828" name="Рисунок 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3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1CD6">
              <w:rPr>
                <w:rFonts w:ascii="Garamond" w:hAnsi="Garamond"/>
                <w:b/>
                <w:i/>
                <w:sz w:val="22"/>
                <w:szCs w:val="22"/>
              </w:rPr>
              <w:t>,</w:t>
            </w:r>
          </w:p>
          <w:p w:rsidR="00745D2F" w:rsidRPr="000D1CD6" w:rsidRDefault="00745D2F" w:rsidP="0092545F">
            <w:pPr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0D1CD6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0D1CD6">
              <w:rPr>
                <w:rFonts w:ascii="Garamond" w:hAnsi="Garamond"/>
                <w:b/>
                <w:i/>
                <w:noProof/>
                <w:position w:val="-14"/>
                <w:sz w:val="22"/>
                <w:szCs w:val="22"/>
              </w:rPr>
              <w:drawing>
                <wp:inline distT="0" distB="0" distL="0" distR="0" wp14:anchorId="4BC07FF4" wp14:editId="32F9974C">
                  <wp:extent cx="248920" cy="299720"/>
                  <wp:effectExtent l="19050" t="0" r="0" b="0"/>
                  <wp:docPr id="829" name="Рисунок 8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99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1CD6">
              <w:rPr>
                <w:rFonts w:ascii="Garamond" w:hAnsi="Garamond"/>
                <w:b/>
                <w:i/>
                <w:sz w:val="22"/>
                <w:szCs w:val="22"/>
              </w:rPr>
              <w:t xml:space="preserve"> </w:t>
            </w:r>
            <w:r w:rsidRPr="000D1CD6">
              <w:rPr>
                <w:rFonts w:ascii="Garamond" w:hAnsi="Garamond"/>
                <w:sz w:val="22"/>
                <w:szCs w:val="22"/>
              </w:rPr>
              <w:t>―</w:t>
            </w:r>
            <w:proofErr w:type="gramEnd"/>
            <w:r w:rsidRPr="000D1CD6">
              <w:rPr>
                <w:rFonts w:ascii="Garamond" w:hAnsi="Garamond"/>
                <w:b/>
                <w:i/>
                <w:sz w:val="22"/>
                <w:szCs w:val="22"/>
              </w:rPr>
              <w:t xml:space="preserve"> </w:t>
            </w:r>
            <w:r w:rsidRPr="000D1CD6">
              <w:rPr>
                <w:rFonts w:ascii="Garamond" w:hAnsi="Garamond"/>
                <w:sz w:val="22"/>
                <w:szCs w:val="22"/>
              </w:rPr>
              <w:t xml:space="preserve">цена, заявленная участником оптового рынка, осуществляющим экспортно-импортные операции в целях поставки электроэнергии в рамках оказания взаимопомощи в режиме параллельной работы ЕЭС России и зарубежных энергосистем в соответствии с п. 8.8 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0D1CD6" w:rsidDel="009C763D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0D1CD6">
              <w:rPr>
                <w:rFonts w:ascii="Garamond" w:hAnsi="Garamond"/>
                <w:sz w:val="22"/>
                <w:szCs w:val="22"/>
              </w:rPr>
              <w:t>(Приложение № 15 к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0D1CD6">
              <w:rPr>
                <w:rFonts w:ascii="Garamond" w:hAnsi="Garamond"/>
                <w:sz w:val="22"/>
                <w:szCs w:val="22"/>
              </w:rPr>
              <w:t>)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>.</w:t>
            </w:r>
          </w:p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Если объемный показатель (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V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>\s(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S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;заявл)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0D1CD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), определенный в соответствии с разделом 3 настоящего Регламента, больше </w:t>
            </w:r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t xml:space="preserve">максимального значения параметра &lt;количество&gt; в парах &lt;цена–количество&gt; в соответствующей часовой </w:t>
            </w:r>
            <w:proofErr w:type="spellStart"/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t>подзаявке</w:t>
            </w:r>
            <w:proofErr w:type="spellEnd"/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t xml:space="preserve">, </w:t>
            </w:r>
            <w:r w:rsidRPr="000D1CD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либо данная </w:t>
            </w:r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t xml:space="preserve">величина </w: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Т\s( ;заявл)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t xml:space="preserve">соответствует </w:t>
            </w:r>
            <w:proofErr w:type="spellStart"/>
            <w:r w:rsidRPr="000D1CD6">
              <w:rPr>
                <w:rFonts w:ascii="Garamond" w:hAnsi="Garamond"/>
                <w:sz w:val="22"/>
                <w:szCs w:val="22"/>
                <w:highlight w:val="yellow"/>
              </w:rPr>
              <w:t>ценоприниманию</w:t>
            </w:r>
            <w:proofErr w:type="spellEnd"/>
            <w:r w:rsidRPr="000D1CD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 то для определения расчетного показателя стоимости отклонения применяется ставка, определенная в соответствии с п. 4.3.4.3 настоящего Регламента.</w:t>
            </w:r>
          </w:p>
          <w:p w:rsidR="00745D2F" w:rsidRPr="000D1CD6" w:rsidRDefault="00745D2F" w:rsidP="0092545F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0D1CD6">
              <w:rPr>
                <w:rFonts w:ascii="Garamond" w:hAnsi="Garamond"/>
                <w:sz w:val="22"/>
                <w:szCs w:val="22"/>
              </w:rPr>
              <w:t xml:space="preserve">Если </w:t>
            </w:r>
            <w:proofErr w:type="gramStart"/>
            <w:r w:rsidRPr="000D1CD6">
              <w:rPr>
                <w:rFonts w:ascii="Garamond" w:hAnsi="Garamond"/>
                <w:sz w:val="22"/>
                <w:szCs w:val="22"/>
              </w:rPr>
              <w:t xml:space="preserve">величина </w:t>
            </w:r>
            <w:r w:rsidRPr="000D1CD6">
              <w:rPr>
                <w:rFonts w:ascii="Garamond" w:hAnsi="Garamond"/>
                <w:position w:val="-14"/>
                <w:sz w:val="22"/>
                <w:szCs w:val="22"/>
              </w:rPr>
              <w:object w:dxaOrig="340" w:dyaOrig="380">
                <v:shape id="_x0000_i1050" type="#_x0000_t75" style="width:17.55pt;height:19.4pt" o:ole="" fillcolor="window">
                  <v:imagedata r:id="rId50" o:title=""/>
                </v:shape>
                <o:OLEObject Type="Embed" ProgID="Equation.3" ShapeID="_x0000_i1050" DrawAspect="Content" ObjectID="_1485937002" r:id="rId51"/>
              </w:object>
            </w:r>
            <w:r w:rsidRPr="000D1CD6">
              <w:rPr>
                <w:rFonts w:ascii="Garamond" w:hAnsi="Garamond"/>
                <w:sz w:val="22"/>
                <w:szCs w:val="22"/>
              </w:rPr>
              <w:t xml:space="preserve"> не</w:t>
            </w:r>
            <w:proofErr w:type="gramEnd"/>
            <w:r w:rsidRPr="000D1CD6">
              <w:rPr>
                <w:rFonts w:ascii="Garamond" w:hAnsi="Garamond"/>
                <w:sz w:val="22"/>
                <w:szCs w:val="22"/>
              </w:rPr>
              <w:t xml:space="preserve"> определена:</w:t>
            </w:r>
          </w:p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position w:val="-14"/>
                <w:sz w:val="22"/>
                <w:szCs w:val="22"/>
              </w:rPr>
              <w:object w:dxaOrig="2119" w:dyaOrig="400">
                <v:shape id="_x0000_i1051" type="#_x0000_t75" style="width:106.45pt;height:21.3pt" o:ole="" fillcolor="window">
                  <v:imagedata r:id="rId52" o:title=""/>
                </v:shape>
                <o:OLEObject Type="Embed" ProgID="Equation.3" ShapeID="_x0000_i1051" DrawAspect="Content" ObjectID="_1485937003" r:id="rId53"/>
              </w:object>
            </w:r>
            <w:r w:rsidRPr="000D1CD6">
              <w:rPr>
                <w:rFonts w:ascii="Garamond" w:hAnsi="Garamond"/>
                <w:sz w:val="22"/>
                <w:szCs w:val="22"/>
              </w:rPr>
              <w:t>.</w:t>
            </w:r>
          </w:p>
          <w:p w:rsidR="00745D2F" w:rsidRPr="0012360D" w:rsidRDefault="00745D2F" w:rsidP="0092545F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067" w:type="dxa"/>
          </w:tcPr>
          <w:p w:rsidR="001123E5" w:rsidRPr="00D71AAA" w:rsidRDefault="00745D2F" w:rsidP="001123E5">
            <w:p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4.3.4.9. Для </w:t>
            </w:r>
            <w:r w:rsidRPr="000D1CD6">
              <w:rPr>
                <w:rFonts w:ascii="Garamond" w:hAnsi="Garamond"/>
                <w:sz w:val="22"/>
                <w:szCs w:val="22"/>
              </w:rPr>
              <w:t xml:space="preserve">ГТП экспорта, зарегистрированных на сечениях экспорта-импорта, в отношении </w:t>
            </w:r>
            <w:r w:rsidRPr="000D1CD6">
              <w:rPr>
                <w:rFonts w:ascii="Garamond" w:hAnsi="Garamond"/>
                <w:bCs/>
                <w:iCs/>
                <w:sz w:val="22"/>
                <w:szCs w:val="22"/>
              </w:rPr>
              <w:t xml:space="preserve">которых выполнено условие, указанное в п. 6.2 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0D1CD6">
              <w:rPr>
                <w:rFonts w:ascii="Garamond" w:hAnsi="Garamond"/>
                <w:sz w:val="22"/>
                <w:szCs w:val="22"/>
              </w:rPr>
              <w:t xml:space="preserve"> (Приложение № 15 к 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0D1CD6">
              <w:rPr>
                <w:rFonts w:ascii="Garamond" w:hAnsi="Garamond"/>
                <w:sz w:val="22"/>
                <w:szCs w:val="22"/>
              </w:rPr>
              <w:t>)</w:t>
            </w:r>
            <w:r w:rsidRPr="000D1CD6">
              <w:rPr>
                <w:rFonts w:ascii="Garamond" w:hAnsi="Garamond"/>
                <w:bCs/>
                <w:iCs/>
                <w:sz w:val="22"/>
                <w:szCs w:val="22"/>
              </w:rPr>
              <w:t xml:space="preserve">, </w:t>
            </w:r>
            <w:r w:rsidRPr="000D1CD6">
              <w:rPr>
                <w:rFonts w:ascii="Garamond" w:hAnsi="Garamond"/>
                <w:sz w:val="22"/>
                <w:szCs w:val="22"/>
              </w:rPr>
              <w:t>и в отношении которых в соответствии с разделом 3 настоящего Регламента сформирована ценовая заявка в отношении данного часа операционных суток</w:t>
            </w:r>
            <w:r w:rsidRPr="000D1CD6">
              <w:rPr>
                <w:rFonts w:ascii="Garamond" w:hAnsi="Garamond"/>
                <w:bCs/>
                <w:iCs/>
                <w:sz w:val="22"/>
                <w:szCs w:val="22"/>
              </w:rPr>
              <w:t xml:space="preserve">, </w:t>
            </w:r>
            <w:r w:rsidRPr="000D1CD6">
              <w:rPr>
                <w:rFonts w:ascii="Garamond" w:hAnsi="Garamond"/>
                <w:color w:val="000000"/>
                <w:sz w:val="22"/>
                <w:szCs w:val="22"/>
              </w:rPr>
              <w:t>ставка, применяемая для определения расчетных показателей стоимости составляющей величины отклонения по внешне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й инициативе в сторону снижения</w:t>
            </w:r>
            <w:r w:rsidRPr="000D1CD6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="001123E5" w:rsidRPr="00D71AAA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принимается равной цене на балансирование вверх по данной ГТП экспорта (</w:t>
            </w:r>
            <w:r w:rsidR="001123E5" w:rsidRPr="00D71AAA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="001123E5" w:rsidRPr="00D71AAA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Ц\s(+;i, p )  </w:instrText>
            </w:r>
            <w:r w:rsidR="001123E5" w:rsidRPr="00D71AAA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="001123E5" w:rsidRPr="00D71AAA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):</w:t>
            </w:r>
            <w:r w:rsidR="001123E5" w:rsidRPr="00D71AAA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  <w:p w:rsidR="001123E5" w:rsidRPr="00D71AAA" w:rsidRDefault="001123E5" w:rsidP="001123E5">
            <w:pPr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D71AAA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D71AAA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Т\s(ИВ1(-); ) </w:instrText>
            </w:r>
            <w:r w:rsidRPr="00D71AAA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D71AAA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</w:t>
            </w:r>
            <w:r w:rsidRPr="006223C7">
              <w:rPr>
                <w:b/>
                <w:i/>
                <w:color w:val="000000"/>
                <w:highlight w:val="yellow"/>
              </w:rPr>
              <w:fldChar w:fldCharType="begin"/>
            </w:r>
            <w:r w:rsidRPr="006223C7">
              <w:rPr>
                <w:b/>
                <w:i/>
                <w:color w:val="000000"/>
                <w:highlight w:val="yellow"/>
              </w:rPr>
              <w:instrText xml:space="preserve"> EQ Ц\s(+;i, p )  </w:instrText>
            </w:r>
            <w:r w:rsidRPr="006223C7">
              <w:rPr>
                <w:b/>
                <w:i/>
                <w:color w:val="000000"/>
                <w:highlight w:val="yellow"/>
              </w:rPr>
              <w:fldChar w:fldCharType="end"/>
            </w:r>
            <w:r w:rsidRPr="001123E5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1123E5" w:rsidRPr="000D1CD6" w:rsidRDefault="001123E5" w:rsidP="001123E5">
            <w:pPr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Т\s(ИВ0(-); 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</w:t>
            </w:r>
            <w:r w:rsidRPr="006223C7">
              <w:rPr>
                <w:b/>
                <w:i/>
                <w:color w:val="000000"/>
                <w:highlight w:val="yellow"/>
              </w:rPr>
              <w:fldChar w:fldCharType="begin"/>
            </w:r>
            <w:r w:rsidRPr="006223C7">
              <w:rPr>
                <w:b/>
                <w:i/>
                <w:color w:val="000000"/>
                <w:highlight w:val="yellow"/>
              </w:rPr>
              <w:instrText xml:space="preserve"> EQ Ц\s(+;i, p )  </w:instrText>
            </w:r>
            <w:r w:rsidRPr="006223C7">
              <w:rPr>
                <w:b/>
                <w:i/>
                <w:color w:val="000000"/>
                <w:highlight w:val="yellow"/>
              </w:rPr>
              <w:fldChar w:fldCharType="end"/>
            </w:r>
            <w:r w:rsidRPr="001123E5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1123E5" w:rsidRPr="000D1CD6" w:rsidRDefault="001123E5" w:rsidP="001123E5">
            <w:pPr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Т\s(ИВА(-); 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</w:t>
            </w:r>
            <w:r w:rsidRPr="006223C7">
              <w:rPr>
                <w:b/>
                <w:i/>
                <w:color w:val="000000"/>
                <w:highlight w:val="yellow"/>
              </w:rPr>
              <w:fldChar w:fldCharType="begin"/>
            </w:r>
            <w:r w:rsidRPr="006223C7">
              <w:rPr>
                <w:b/>
                <w:i/>
                <w:color w:val="000000"/>
                <w:highlight w:val="yellow"/>
              </w:rPr>
              <w:instrText xml:space="preserve"> EQ Ц\s(+;i, p )  </w:instrText>
            </w:r>
            <w:r w:rsidRPr="006223C7">
              <w:rPr>
                <w:b/>
                <w:i/>
                <w:color w:val="000000"/>
                <w:highlight w:val="yellow"/>
              </w:rPr>
              <w:fldChar w:fldCharType="end"/>
            </w:r>
            <w:r w:rsidRPr="001123E5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1123E5" w:rsidRPr="000D1CD6" w:rsidRDefault="001123E5" w:rsidP="001123E5">
            <w:pPr>
              <w:jc w:val="both"/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Т\s(ИВ(-); ) </w:instrText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0D1CD6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</w:t>
            </w:r>
            <w:r w:rsidRPr="006223C7">
              <w:rPr>
                <w:b/>
                <w:i/>
                <w:color w:val="000000"/>
                <w:highlight w:val="yellow"/>
              </w:rPr>
              <w:fldChar w:fldCharType="begin"/>
            </w:r>
            <w:r w:rsidRPr="006223C7">
              <w:rPr>
                <w:b/>
                <w:i/>
                <w:color w:val="000000"/>
                <w:highlight w:val="yellow"/>
              </w:rPr>
              <w:instrText xml:space="preserve"> EQ Ц\s(+;i, p )  </w:instrText>
            </w:r>
            <w:r w:rsidRPr="006223C7">
              <w:rPr>
                <w:b/>
                <w:i/>
                <w:color w:val="000000"/>
                <w:highlight w:val="yellow"/>
              </w:rPr>
              <w:fldChar w:fldCharType="end"/>
            </w:r>
            <w:r w:rsidRPr="001123E5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,</w:t>
            </w:r>
          </w:p>
          <w:p w:rsidR="001123E5" w:rsidRPr="000D1CD6" w:rsidRDefault="001123E5" w:rsidP="001123E5">
            <w:pPr>
              <w:jc w:val="both"/>
              <w:rPr>
                <w:rFonts w:ascii="Garamond" w:hAnsi="Garamond"/>
                <w:b/>
                <w:i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noProof/>
                <w:position w:val="-14"/>
                <w:sz w:val="22"/>
                <w:szCs w:val="22"/>
              </w:rPr>
              <w:drawing>
                <wp:inline distT="0" distB="0" distL="0" distR="0" wp14:anchorId="46C1F70B" wp14:editId="1A2F3990">
                  <wp:extent cx="1257935" cy="3365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3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23E5">
              <w:rPr>
                <w:rFonts w:ascii="Garamond" w:hAnsi="Garamond"/>
                <w:b/>
                <w:i/>
                <w:sz w:val="22"/>
                <w:szCs w:val="22"/>
              </w:rPr>
              <w:t>,</w:t>
            </w:r>
          </w:p>
          <w:p w:rsidR="00745D2F" w:rsidRPr="000D1CD6" w:rsidRDefault="00745D2F" w:rsidP="0092545F">
            <w:pPr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0D1CD6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0D1CD6">
              <w:rPr>
                <w:rFonts w:ascii="Garamond" w:hAnsi="Garamond"/>
                <w:b/>
                <w:i/>
                <w:noProof/>
                <w:position w:val="-14"/>
                <w:sz w:val="22"/>
                <w:szCs w:val="22"/>
              </w:rPr>
              <w:drawing>
                <wp:inline distT="0" distB="0" distL="0" distR="0" wp14:anchorId="5C032190" wp14:editId="7F2B8287">
                  <wp:extent cx="248920" cy="29972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99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1CD6">
              <w:rPr>
                <w:rFonts w:ascii="Garamond" w:hAnsi="Garamond"/>
                <w:b/>
                <w:i/>
                <w:sz w:val="22"/>
                <w:szCs w:val="22"/>
              </w:rPr>
              <w:t xml:space="preserve"> </w:t>
            </w:r>
            <w:r w:rsidRPr="000D1CD6">
              <w:rPr>
                <w:rFonts w:ascii="Garamond" w:hAnsi="Garamond"/>
                <w:sz w:val="22"/>
                <w:szCs w:val="22"/>
              </w:rPr>
              <w:t>―</w:t>
            </w:r>
            <w:proofErr w:type="gramEnd"/>
            <w:r w:rsidRPr="000D1CD6">
              <w:rPr>
                <w:rFonts w:ascii="Garamond" w:hAnsi="Garamond"/>
                <w:b/>
                <w:i/>
                <w:sz w:val="22"/>
                <w:szCs w:val="22"/>
              </w:rPr>
              <w:t xml:space="preserve"> </w:t>
            </w:r>
            <w:r w:rsidRPr="000D1CD6">
              <w:rPr>
                <w:rFonts w:ascii="Garamond" w:hAnsi="Garamond"/>
                <w:sz w:val="22"/>
                <w:szCs w:val="22"/>
              </w:rPr>
              <w:t xml:space="preserve">цена, заявленная участником оптового рынка, осуществляющим экспортно-импортные операции в целях поставки </w:t>
            </w:r>
            <w:r w:rsidRPr="000D1CD6">
              <w:rPr>
                <w:rFonts w:ascii="Garamond" w:hAnsi="Garamond"/>
                <w:sz w:val="22"/>
                <w:szCs w:val="22"/>
              </w:rPr>
              <w:lastRenderedPageBreak/>
              <w:t xml:space="preserve">электроэнергии в рамках оказания взаимопомощи в режиме параллельной работы ЕЭС России и зарубежных энергосистем в соответствии с п. 8.8 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</w:t>
            </w:r>
            <w:bookmarkStart w:id="0" w:name="_GoBack"/>
            <w:bookmarkEnd w:id="0"/>
            <w:r w:rsidRPr="000D1CD6">
              <w:rPr>
                <w:rFonts w:ascii="Garamond" w:hAnsi="Garamond"/>
                <w:i/>
                <w:sz w:val="22"/>
                <w:szCs w:val="22"/>
              </w:rPr>
              <w:t>рта в зарубежные энергосистемы</w:t>
            </w:r>
            <w:r w:rsidRPr="000D1CD6" w:rsidDel="009C763D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0D1CD6">
              <w:rPr>
                <w:rFonts w:ascii="Garamond" w:hAnsi="Garamond"/>
                <w:sz w:val="22"/>
                <w:szCs w:val="22"/>
              </w:rPr>
              <w:t>(Приложение № 15 к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0D1CD6">
              <w:rPr>
                <w:rFonts w:ascii="Garamond" w:hAnsi="Garamond"/>
                <w:sz w:val="22"/>
                <w:szCs w:val="22"/>
              </w:rPr>
              <w:t>)</w:t>
            </w:r>
            <w:r w:rsidRPr="000D1CD6">
              <w:rPr>
                <w:rFonts w:ascii="Garamond" w:hAnsi="Garamond"/>
                <w:i/>
                <w:sz w:val="22"/>
                <w:szCs w:val="22"/>
              </w:rPr>
              <w:t>.</w:t>
            </w:r>
          </w:p>
          <w:p w:rsidR="00745D2F" w:rsidRPr="000D1CD6" w:rsidRDefault="00745D2F" w:rsidP="0092545F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0D1CD6">
              <w:rPr>
                <w:rFonts w:ascii="Garamond" w:hAnsi="Garamond"/>
                <w:sz w:val="22"/>
                <w:szCs w:val="22"/>
              </w:rPr>
              <w:t xml:space="preserve">Если </w:t>
            </w:r>
            <w:proofErr w:type="gramStart"/>
            <w:r w:rsidRPr="000D1CD6">
              <w:rPr>
                <w:rFonts w:ascii="Garamond" w:hAnsi="Garamond"/>
                <w:sz w:val="22"/>
                <w:szCs w:val="22"/>
              </w:rPr>
              <w:t xml:space="preserve">величина </w:t>
            </w:r>
            <w:r w:rsidRPr="000D1CD6">
              <w:rPr>
                <w:rFonts w:ascii="Garamond" w:hAnsi="Garamond"/>
                <w:position w:val="-14"/>
                <w:sz w:val="22"/>
                <w:szCs w:val="22"/>
              </w:rPr>
              <w:object w:dxaOrig="340" w:dyaOrig="380">
                <v:shape id="_x0000_i1052" type="#_x0000_t75" style="width:17.55pt;height:19.4pt" o:ole="" fillcolor="window">
                  <v:imagedata r:id="rId50" o:title=""/>
                </v:shape>
                <o:OLEObject Type="Embed" ProgID="Equation.3" ShapeID="_x0000_i1052" DrawAspect="Content" ObjectID="_1485937004" r:id="rId54"/>
              </w:object>
            </w:r>
            <w:r w:rsidRPr="000D1CD6">
              <w:rPr>
                <w:rFonts w:ascii="Garamond" w:hAnsi="Garamond"/>
                <w:sz w:val="22"/>
                <w:szCs w:val="22"/>
              </w:rPr>
              <w:t xml:space="preserve"> не</w:t>
            </w:r>
            <w:proofErr w:type="gramEnd"/>
            <w:r w:rsidRPr="000D1CD6">
              <w:rPr>
                <w:rFonts w:ascii="Garamond" w:hAnsi="Garamond"/>
                <w:sz w:val="22"/>
                <w:szCs w:val="22"/>
              </w:rPr>
              <w:t xml:space="preserve"> определена:</w:t>
            </w:r>
          </w:p>
          <w:p w:rsidR="00745D2F" w:rsidRPr="000D1CD6" w:rsidRDefault="00745D2F" w:rsidP="0092545F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D1CD6">
              <w:rPr>
                <w:rFonts w:ascii="Garamond" w:hAnsi="Garamond"/>
                <w:b/>
                <w:i/>
                <w:position w:val="-14"/>
                <w:sz w:val="22"/>
                <w:szCs w:val="22"/>
              </w:rPr>
              <w:object w:dxaOrig="2119" w:dyaOrig="400">
                <v:shape id="_x0000_i1053" type="#_x0000_t75" style="width:106.45pt;height:21.3pt" o:ole="" fillcolor="window">
                  <v:imagedata r:id="rId52" o:title=""/>
                </v:shape>
                <o:OLEObject Type="Embed" ProgID="Equation.3" ShapeID="_x0000_i1053" DrawAspect="Content" ObjectID="_1485937005" r:id="rId55"/>
              </w:object>
            </w:r>
            <w:r w:rsidRPr="000D1CD6">
              <w:rPr>
                <w:rFonts w:ascii="Garamond" w:hAnsi="Garamond"/>
                <w:sz w:val="22"/>
                <w:szCs w:val="22"/>
              </w:rPr>
              <w:t>.</w:t>
            </w:r>
          </w:p>
          <w:p w:rsidR="00745D2F" w:rsidRPr="00A121E5" w:rsidRDefault="00745D2F" w:rsidP="0092545F">
            <w:pPr>
              <w:pStyle w:val="21"/>
              <w:tabs>
                <w:tab w:val="num" w:pos="900"/>
              </w:tabs>
              <w:spacing w:before="120" w:after="120"/>
              <w:ind w:left="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D16558" w:rsidRPr="00A937D9" w:rsidRDefault="00D16558" w:rsidP="0092545F">
      <w:pPr>
        <w:spacing w:before="120" w:after="120"/>
        <w:jc w:val="both"/>
        <w:outlineLvl w:val="0"/>
        <w:rPr>
          <w:rFonts w:ascii="Garamond" w:hAnsi="Garamond"/>
        </w:rPr>
      </w:pPr>
    </w:p>
    <w:sectPr w:rsidR="00D16558" w:rsidRPr="00A937D9" w:rsidSect="00AA1E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41230B"/>
    <w:multiLevelType w:val="hybridMultilevel"/>
    <w:tmpl w:val="F078F194"/>
    <w:lvl w:ilvl="0" w:tplc="00C498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0858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B44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EB1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C81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E08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089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09E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5A17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91D78"/>
    <w:multiLevelType w:val="hybridMultilevel"/>
    <w:tmpl w:val="F0BAD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718D8"/>
    <w:multiLevelType w:val="multilevel"/>
    <w:tmpl w:val="5340342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0ECD7C7A"/>
    <w:multiLevelType w:val="multilevel"/>
    <w:tmpl w:val="3C38A8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4AF44A5"/>
    <w:multiLevelType w:val="hybridMultilevel"/>
    <w:tmpl w:val="69AA0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844E0"/>
    <w:multiLevelType w:val="hybridMultilevel"/>
    <w:tmpl w:val="21D0AE82"/>
    <w:lvl w:ilvl="0" w:tplc="50FC481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20EF2855"/>
    <w:multiLevelType w:val="hybridMultilevel"/>
    <w:tmpl w:val="F2F680D4"/>
    <w:lvl w:ilvl="0" w:tplc="A0E61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3690"/>
    <w:multiLevelType w:val="multilevel"/>
    <w:tmpl w:val="D2327AA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>
    <w:nsid w:val="23B175FA"/>
    <w:multiLevelType w:val="multilevel"/>
    <w:tmpl w:val="9F88B49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23EE0F72"/>
    <w:multiLevelType w:val="hybridMultilevel"/>
    <w:tmpl w:val="8CB4656E"/>
    <w:lvl w:ilvl="0" w:tplc="EDC2D780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45079A"/>
    <w:multiLevelType w:val="hybridMultilevel"/>
    <w:tmpl w:val="CCEC083E"/>
    <w:lvl w:ilvl="0" w:tplc="7690E1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0054D2"/>
    <w:multiLevelType w:val="hybridMultilevel"/>
    <w:tmpl w:val="9D50801E"/>
    <w:lvl w:ilvl="0" w:tplc="38CA1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631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208B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B68C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6899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AEE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D68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EA9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49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32096"/>
    <w:multiLevelType w:val="hybridMultilevel"/>
    <w:tmpl w:val="C6100776"/>
    <w:lvl w:ilvl="0" w:tplc="A75270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7A7A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874F0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F69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C4A9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A02D0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0EF3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7670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5CE4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BA4821"/>
    <w:multiLevelType w:val="hybridMultilevel"/>
    <w:tmpl w:val="CC8EE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3B764F"/>
    <w:multiLevelType w:val="hybridMultilevel"/>
    <w:tmpl w:val="B1CED396"/>
    <w:lvl w:ilvl="0" w:tplc="935EFFC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E55034F"/>
    <w:multiLevelType w:val="hybridMultilevel"/>
    <w:tmpl w:val="AE24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244079"/>
    <w:multiLevelType w:val="hybridMultilevel"/>
    <w:tmpl w:val="AC9C8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A24CA8"/>
    <w:multiLevelType w:val="hybridMultilevel"/>
    <w:tmpl w:val="FF24B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157AD9"/>
    <w:multiLevelType w:val="multilevel"/>
    <w:tmpl w:val="033097FE"/>
    <w:lvl w:ilvl="0">
      <w:start w:val="1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28"/>
        </w:tabs>
        <w:ind w:left="53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72"/>
        </w:tabs>
        <w:ind w:left="81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2160"/>
      </w:pPr>
      <w:rPr>
        <w:rFonts w:cs="Times New Roman" w:hint="default"/>
      </w:rPr>
    </w:lvl>
  </w:abstractNum>
  <w:abstractNum w:abstractNumId="20">
    <w:nsid w:val="45BE4C07"/>
    <w:multiLevelType w:val="hybridMultilevel"/>
    <w:tmpl w:val="49B4EB28"/>
    <w:lvl w:ilvl="0" w:tplc="DCD42BB0">
      <w:start w:val="1"/>
      <w:numFmt w:val="decimal"/>
      <w:lvlText w:val="%1."/>
      <w:lvlJc w:val="left"/>
      <w:pPr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21">
    <w:nsid w:val="4C8D07AE"/>
    <w:multiLevelType w:val="hybridMultilevel"/>
    <w:tmpl w:val="1520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20192"/>
    <w:multiLevelType w:val="hybridMultilevel"/>
    <w:tmpl w:val="CC36CEF6"/>
    <w:lvl w:ilvl="0" w:tplc="E7067A2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684C2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886D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F585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D44BA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F8E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E660D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C98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49C2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32A43F7"/>
    <w:multiLevelType w:val="hybridMultilevel"/>
    <w:tmpl w:val="588EA848"/>
    <w:lvl w:ilvl="0" w:tplc="DCD42BB0">
      <w:start w:val="1"/>
      <w:numFmt w:val="decimal"/>
      <w:lvlText w:val="%1."/>
      <w:lvlJc w:val="left"/>
      <w:pPr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C55CCA"/>
    <w:multiLevelType w:val="hybridMultilevel"/>
    <w:tmpl w:val="CC36CEF6"/>
    <w:lvl w:ilvl="0" w:tplc="E7067A2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684C2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886D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F585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D44BA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F8E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E660D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C98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49C2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DE4164"/>
    <w:multiLevelType w:val="hybridMultilevel"/>
    <w:tmpl w:val="B5CCD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82958"/>
    <w:multiLevelType w:val="hybridMultilevel"/>
    <w:tmpl w:val="FF587CD2"/>
    <w:lvl w:ilvl="0" w:tplc="9C4690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28A25E5"/>
    <w:multiLevelType w:val="hybridMultilevel"/>
    <w:tmpl w:val="F1340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8E3C78"/>
    <w:multiLevelType w:val="hybridMultilevel"/>
    <w:tmpl w:val="FF28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A52C3"/>
    <w:multiLevelType w:val="multilevel"/>
    <w:tmpl w:val="A2FC1300"/>
    <w:lvl w:ilvl="0">
      <w:start w:val="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0">
    <w:nsid w:val="678D5A32"/>
    <w:multiLevelType w:val="hybridMultilevel"/>
    <w:tmpl w:val="97343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B63D8"/>
    <w:multiLevelType w:val="hybridMultilevel"/>
    <w:tmpl w:val="F5820046"/>
    <w:lvl w:ilvl="0" w:tplc="981E6342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2">
    <w:nsid w:val="6E0C0808"/>
    <w:multiLevelType w:val="hybridMultilevel"/>
    <w:tmpl w:val="9AB0E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943100"/>
    <w:multiLevelType w:val="hybridMultilevel"/>
    <w:tmpl w:val="2B524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F875B8"/>
    <w:multiLevelType w:val="hybridMultilevel"/>
    <w:tmpl w:val="B89811F8"/>
    <w:lvl w:ilvl="0" w:tplc="23F49C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1" w:tplc="8D58D3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AD178CC"/>
    <w:multiLevelType w:val="hybridMultilevel"/>
    <w:tmpl w:val="D83E6622"/>
    <w:lvl w:ilvl="0" w:tplc="981E6342">
      <w:start w:val="1"/>
      <w:numFmt w:val="lowerLetter"/>
      <w:lvlText w:val="%1)"/>
      <w:lvlJc w:val="left"/>
      <w:pPr>
        <w:ind w:left="1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  <w:rPr>
        <w:rFonts w:cs="Times New Roman"/>
      </w:rPr>
    </w:lvl>
  </w:abstractNum>
  <w:abstractNum w:abstractNumId="36">
    <w:nsid w:val="7B22182F"/>
    <w:multiLevelType w:val="hybridMultilevel"/>
    <w:tmpl w:val="076AB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DA6F4B"/>
    <w:multiLevelType w:val="hybridMultilevel"/>
    <w:tmpl w:val="6D9EE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1"/>
  </w:num>
  <w:num w:numId="4">
    <w:abstractNumId w:val="1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10"/>
  </w:num>
  <w:num w:numId="8">
    <w:abstractNumId w:val="36"/>
  </w:num>
  <w:num w:numId="9">
    <w:abstractNumId w:val="2"/>
  </w:num>
  <w:num w:numId="10">
    <w:abstractNumId w:val="37"/>
  </w:num>
  <w:num w:numId="11">
    <w:abstractNumId w:val="15"/>
  </w:num>
  <w:num w:numId="12">
    <w:abstractNumId w:val="6"/>
  </w:num>
  <w:num w:numId="13">
    <w:abstractNumId w:val="19"/>
  </w:num>
  <w:num w:numId="14">
    <w:abstractNumId w:val="20"/>
  </w:num>
  <w:num w:numId="15">
    <w:abstractNumId w:val="23"/>
  </w:num>
  <w:num w:numId="16">
    <w:abstractNumId w:val="11"/>
  </w:num>
  <w:num w:numId="17">
    <w:abstractNumId w:val="34"/>
  </w:num>
  <w:num w:numId="18">
    <w:abstractNumId w:val="22"/>
  </w:num>
  <w:num w:numId="19">
    <w:abstractNumId w:val="9"/>
  </w:num>
  <w:num w:numId="20">
    <w:abstractNumId w:val="8"/>
  </w:num>
  <w:num w:numId="21">
    <w:abstractNumId w:val="29"/>
  </w:num>
  <w:num w:numId="22">
    <w:abstractNumId w:val="3"/>
  </w:num>
  <w:num w:numId="23">
    <w:abstractNumId w:val="7"/>
  </w:num>
  <w:num w:numId="24">
    <w:abstractNumId w:val="24"/>
  </w:num>
  <w:num w:numId="25">
    <w:abstractNumId w:val="4"/>
  </w:num>
  <w:num w:numId="26">
    <w:abstractNumId w:val="14"/>
  </w:num>
  <w:num w:numId="27">
    <w:abstractNumId w:val="18"/>
  </w:num>
  <w:num w:numId="28">
    <w:abstractNumId w:val="28"/>
  </w:num>
  <w:num w:numId="29">
    <w:abstractNumId w:val="30"/>
  </w:num>
  <w:num w:numId="30">
    <w:abstractNumId w:val="17"/>
  </w:num>
  <w:num w:numId="31">
    <w:abstractNumId w:val="5"/>
  </w:num>
  <w:num w:numId="32">
    <w:abstractNumId w:val="21"/>
  </w:num>
  <w:num w:numId="33">
    <w:abstractNumId w:val="25"/>
  </w:num>
  <w:num w:numId="34">
    <w:abstractNumId w:val="33"/>
  </w:num>
  <w:num w:numId="35">
    <w:abstractNumId w:val="26"/>
  </w:num>
  <w:num w:numId="36">
    <w:abstractNumId w:val="35"/>
  </w:num>
  <w:num w:numId="37">
    <w:abstractNumId w:val="12"/>
  </w:num>
  <w:num w:numId="38">
    <w:abstractNumId w:val="1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EFE"/>
    <w:rsid w:val="00051E0B"/>
    <w:rsid w:val="0007315D"/>
    <w:rsid w:val="000841F3"/>
    <w:rsid w:val="000A70EA"/>
    <w:rsid w:val="000B6454"/>
    <w:rsid w:val="000D1CD6"/>
    <w:rsid w:val="001123E5"/>
    <w:rsid w:val="00114DF0"/>
    <w:rsid w:val="0012360D"/>
    <w:rsid w:val="00130910"/>
    <w:rsid w:val="00153240"/>
    <w:rsid w:val="00161252"/>
    <w:rsid w:val="00195EFF"/>
    <w:rsid w:val="001C28D8"/>
    <w:rsid w:val="001C4D2B"/>
    <w:rsid w:val="001C4FAD"/>
    <w:rsid w:val="001F2392"/>
    <w:rsid w:val="001F65B8"/>
    <w:rsid w:val="00204E1B"/>
    <w:rsid w:val="00207B78"/>
    <w:rsid w:val="00231894"/>
    <w:rsid w:val="00244EB8"/>
    <w:rsid w:val="002A2139"/>
    <w:rsid w:val="002A39EB"/>
    <w:rsid w:val="002D0298"/>
    <w:rsid w:val="002D6F63"/>
    <w:rsid w:val="002E2B6F"/>
    <w:rsid w:val="00334FA1"/>
    <w:rsid w:val="0035004B"/>
    <w:rsid w:val="003511BE"/>
    <w:rsid w:val="00370F4B"/>
    <w:rsid w:val="0037205C"/>
    <w:rsid w:val="003778C6"/>
    <w:rsid w:val="00384AF0"/>
    <w:rsid w:val="00385D71"/>
    <w:rsid w:val="003A2995"/>
    <w:rsid w:val="003A3009"/>
    <w:rsid w:val="003D57F8"/>
    <w:rsid w:val="003E462D"/>
    <w:rsid w:val="004006E9"/>
    <w:rsid w:val="00446BA0"/>
    <w:rsid w:val="00447F47"/>
    <w:rsid w:val="00454124"/>
    <w:rsid w:val="00455538"/>
    <w:rsid w:val="00471DFC"/>
    <w:rsid w:val="004856E6"/>
    <w:rsid w:val="004B6BB1"/>
    <w:rsid w:val="004B7647"/>
    <w:rsid w:val="004B7930"/>
    <w:rsid w:val="004C1784"/>
    <w:rsid w:val="0050336C"/>
    <w:rsid w:val="00523FC4"/>
    <w:rsid w:val="00525011"/>
    <w:rsid w:val="0053483E"/>
    <w:rsid w:val="005408EF"/>
    <w:rsid w:val="00557445"/>
    <w:rsid w:val="00560D61"/>
    <w:rsid w:val="0058018A"/>
    <w:rsid w:val="00583D5E"/>
    <w:rsid w:val="00594030"/>
    <w:rsid w:val="00630620"/>
    <w:rsid w:val="00652380"/>
    <w:rsid w:val="00685E7E"/>
    <w:rsid w:val="006A1802"/>
    <w:rsid w:val="006D1911"/>
    <w:rsid w:val="006D3F4D"/>
    <w:rsid w:val="007170DE"/>
    <w:rsid w:val="00745D2F"/>
    <w:rsid w:val="00746186"/>
    <w:rsid w:val="007473A9"/>
    <w:rsid w:val="007515D5"/>
    <w:rsid w:val="00761419"/>
    <w:rsid w:val="00762BE0"/>
    <w:rsid w:val="007941D7"/>
    <w:rsid w:val="00796FE6"/>
    <w:rsid w:val="007A2F8E"/>
    <w:rsid w:val="007B76F3"/>
    <w:rsid w:val="007C13D9"/>
    <w:rsid w:val="007D2864"/>
    <w:rsid w:val="007F1F17"/>
    <w:rsid w:val="00867F45"/>
    <w:rsid w:val="0088545F"/>
    <w:rsid w:val="008933A9"/>
    <w:rsid w:val="008C1BE4"/>
    <w:rsid w:val="008E0D4C"/>
    <w:rsid w:val="0092545F"/>
    <w:rsid w:val="00937FC8"/>
    <w:rsid w:val="0094005B"/>
    <w:rsid w:val="0095467F"/>
    <w:rsid w:val="00962542"/>
    <w:rsid w:val="00973399"/>
    <w:rsid w:val="009A2CC1"/>
    <w:rsid w:val="009B055A"/>
    <w:rsid w:val="009F7140"/>
    <w:rsid w:val="00A10EB0"/>
    <w:rsid w:val="00A121E5"/>
    <w:rsid w:val="00A219E7"/>
    <w:rsid w:val="00A5159A"/>
    <w:rsid w:val="00A75D12"/>
    <w:rsid w:val="00A812BF"/>
    <w:rsid w:val="00A91D90"/>
    <w:rsid w:val="00A937D9"/>
    <w:rsid w:val="00A9552E"/>
    <w:rsid w:val="00AA0591"/>
    <w:rsid w:val="00AA1EFE"/>
    <w:rsid w:val="00AB2EFF"/>
    <w:rsid w:val="00AB7132"/>
    <w:rsid w:val="00AE4CD6"/>
    <w:rsid w:val="00B014B3"/>
    <w:rsid w:val="00B039B4"/>
    <w:rsid w:val="00B34B6A"/>
    <w:rsid w:val="00B524F2"/>
    <w:rsid w:val="00B55814"/>
    <w:rsid w:val="00B703F1"/>
    <w:rsid w:val="00B7505D"/>
    <w:rsid w:val="00B828AE"/>
    <w:rsid w:val="00B86A2B"/>
    <w:rsid w:val="00BD59AB"/>
    <w:rsid w:val="00BE03F6"/>
    <w:rsid w:val="00BF2896"/>
    <w:rsid w:val="00C03F1F"/>
    <w:rsid w:val="00C04FAC"/>
    <w:rsid w:val="00C12C01"/>
    <w:rsid w:val="00C43770"/>
    <w:rsid w:val="00C87F4E"/>
    <w:rsid w:val="00CD2344"/>
    <w:rsid w:val="00CD35CC"/>
    <w:rsid w:val="00CD506A"/>
    <w:rsid w:val="00CF0085"/>
    <w:rsid w:val="00CF149C"/>
    <w:rsid w:val="00D00720"/>
    <w:rsid w:val="00D00FA3"/>
    <w:rsid w:val="00D152BD"/>
    <w:rsid w:val="00D16558"/>
    <w:rsid w:val="00D36851"/>
    <w:rsid w:val="00D54BB2"/>
    <w:rsid w:val="00D75C15"/>
    <w:rsid w:val="00DB2CBD"/>
    <w:rsid w:val="00DE1885"/>
    <w:rsid w:val="00E0387D"/>
    <w:rsid w:val="00E06FE5"/>
    <w:rsid w:val="00E11AF3"/>
    <w:rsid w:val="00E16260"/>
    <w:rsid w:val="00E17934"/>
    <w:rsid w:val="00E25339"/>
    <w:rsid w:val="00E37257"/>
    <w:rsid w:val="00E53665"/>
    <w:rsid w:val="00E73522"/>
    <w:rsid w:val="00EB39A2"/>
    <w:rsid w:val="00EB509A"/>
    <w:rsid w:val="00EC4F7E"/>
    <w:rsid w:val="00EF7202"/>
    <w:rsid w:val="00F037E4"/>
    <w:rsid w:val="00F33055"/>
    <w:rsid w:val="00F60338"/>
    <w:rsid w:val="00F63B02"/>
    <w:rsid w:val="00F7386E"/>
    <w:rsid w:val="00F73F5C"/>
    <w:rsid w:val="00F77D66"/>
    <w:rsid w:val="00F82409"/>
    <w:rsid w:val="00F93D21"/>
    <w:rsid w:val="00FA65AD"/>
    <w:rsid w:val="00FC5689"/>
    <w:rsid w:val="00FC698C"/>
    <w:rsid w:val="00FD4EB2"/>
    <w:rsid w:val="00FE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,"/>
  <w:listSeparator w:val=";"/>
  <w15:docId w15:val="{A42C0065-470A-45D9-BB3F-16C19E51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E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37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h21,Заголовок пункта (1.1),5,Reset numbering,222"/>
    <w:basedOn w:val="a"/>
    <w:next w:val="a"/>
    <w:uiPriority w:val="99"/>
    <w:qFormat/>
    <w:rsid w:val="00AA1EFE"/>
    <w:pPr>
      <w:keepNext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unhideWhenUsed/>
    <w:qFormat/>
    <w:rsid w:val="001236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0A70E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DB2CB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1236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0A70E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60">
    <w:name w:val="Заголовок 6 Знак"/>
    <w:basedOn w:val="a0"/>
    <w:link w:val="6"/>
    <w:rsid w:val="00DB2CB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2">
    <w:name w:val="List Number 2"/>
    <w:basedOn w:val="a"/>
    <w:rsid w:val="00AA1EFE"/>
    <w:pPr>
      <w:keepNext/>
      <w:keepLines/>
      <w:numPr>
        <w:numId w:val="1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subclauseindent">
    <w:name w:val="subclauseindent"/>
    <w:basedOn w:val="a"/>
    <w:uiPriority w:val="99"/>
    <w:rsid w:val="00AA0591"/>
    <w:pPr>
      <w:spacing w:before="120" w:after="120"/>
      <w:ind w:left="1701"/>
      <w:jc w:val="both"/>
    </w:pPr>
    <w:rPr>
      <w:sz w:val="22"/>
      <w:szCs w:val="20"/>
      <w:lang w:val="en-GB" w:eastAsia="en-US"/>
    </w:rPr>
  </w:style>
  <w:style w:type="paragraph" w:styleId="21">
    <w:name w:val="Body Text 2"/>
    <w:basedOn w:val="a"/>
    <w:link w:val="22"/>
    <w:uiPriority w:val="99"/>
    <w:rsid w:val="0012360D"/>
    <w:pPr>
      <w:ind w:left="851"/>
      <w:jc w:val="both"/>
    </w:pPr>
    <w:rPr>
      <w:szCs w:val="20"/>
      <w:lang w:val="en-GB" w:eastAsia="en-US"/>
    </w:rPr>
  </w:style>
  <w:style w:type="character" w:customStyle="1" w:styleId="22">
    <w:name w:val="Основной текст 2 Знак"/>
    <w:basedOn w:val="a0"/>
    <w:link w:val="21"/>
    <w:uiPriority w:val="99"/>
    <w:rsid w:val="0012360D"/>
    <w:rPr>
      <w:sz w:val="24"/>
      <w:lang w:val="en-GB" w:eastAsia="en-US"/>
    </w:rPr>
  </w:style>
  <w:style w:type="paragraph" w:customStyle="1" w:styleId="subsubclauseindent">
    <w:name w:val="subsubclauseindent"/>
    <w:basedOn w:val="a"/>
    <w:uiPriority w:val="99"/>
    <w:rsid w:val="00C43770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a3">
    <w:name w:val="Balloon Text"/>
    <w:basedOn w:val="a"/>
    <w:link w:val="a4"/>
    <w:uiPriority w:val="99"/>
    <w:rsid w:val="00F603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F60338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F60338"/>
    <w:rPr>
      <w:rFonts w:cs="Times New Roman"/>
      <w:i/>
      <w:iCs/>
    </w:rPr>
  </w:style>
  <w:style w:type="paragraph" w:styleId="a6">
    <w:name w:val="Body Text"/>
    <w:basedOn w:val="a"/>
    <w:link w:val="a7"/>
    <w:uiPriority w:val="99"/>
    <w:rsid w:val="00AB713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B7132"/>
    <w:rPr>
      <w:sz w:val="24"/>
      <w:szCs w:val="24"/>
    </w:rPr>
  </w:style>
  <w:style w:type="paragraph" w:styleId="a8">
    <w:name w:val="List Paragraph"/>
    <w:basedOn w:val="a"/>
    <w:uiPriority w:val="99"/>
    <w:qFormat/>
    <w:rsid w:val="00796FE6"/>
    <w:pPr>
      <w:ind w:left="720"/>
      <w:contextualSpacing/>
    </w:pPr>
    <w:rPr>
      <w:sz w:val="28"/>
    </w:rPr>
  </w:style>
  <w:style w:type="paragraph" w:styleId="a9">
    <w:name w:val="Body Text Indent"/>
    <w:basedOn w:val="a"/>
    <w:link w:val="aa"/>
    <w:uiPriority w:val="99"/>
    <w:rsid w:val="00796FE6"/>
    <w:pPr>
      <w:ind w:firstLine="720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796FE6"/>
    <w:rPr>
      <w:sz w:val="28"/>
      <w:szCs w:val="24"/>
    </w:rPr>
  </w:style>
  <w:style w:type="paragraph" w:styleId="23">
    <w:name w:val="Body Text Indent 2"/>
    <w:basedOn w:val="a"/>
    <w:link w:val="24"/>
    <w:uiPriority w:val="99"/>
    <w:rsid w:val="00796FE6"/>
    <w:pPr>
      <w:tabs>
        <w:tab w:val="left" w:pos="5260"/>
        <w:tab w:val="left" w:pos="6120"/>
      </w:tabs>
      <w:ind w:left="6120" w:hanging="5940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96FE6"/>
    <w:rPr>
      <w:sz w:val="28"/>
      <w:szCs w:val="24"/>
    </w:rPr>
  </w:style>
  <w:style w:type="paragraph" w:styleId="31">
    <w:name w:val="Body Text Indent 3"/>
    <w:basedOn w:val="a"/>
    <w:link w:val="32"/>
    <w:uiPriority w:val="99"/>
    <w:rsid w:val="00796FE6"/>
    <w:pPr>
      <w:ind w:left="6120" w:hanging="1164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96FE6"/>
    <w:rPr>
      <w:sz w:val="28"/>
      <w:szCs w:val="24"/>
    </w:rPr>
  </w:style>
  <w:style w:type="paragraph" w:customStyle="1" w:styleId="ConsNormal">
    <w:name w:val="ConsNormal"/>
    <w:uiPriority w:val="99"/>
    <w:rsid w:val="00796F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rsid w:val="00796FE6"/>
    <w:rPr>
      <w:rFonts w:cs="Times New Roman"/>
      <w:b/>
      <w:color w:val="217680"/>
      <w:u w:val="none"/>
      <w:effect w:val="none"/>
    </w:rPr>
  </w:style>
  <w:style w:type="paragraph" w:customStyle="1" w:styleId="ConsPlusNormal">
    <w:name w:val="ConsPlusNormal"/>
    <w:uiPriority w:val="99"/>
    <w:rsid w:val="00796FE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header"/>
    <w:basedOn w:val="a"/>
    <w:link w:val="ad"/>
    <w:uiPriority w:val="99"/>
    <w:rsid w:val="00796FE6"/>
    <w:pPr>
      <w:tabs>
        <w:tab w:val="center" w:pos="4677"/>
        <w:tab w:val="right" w:pos="9355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rsid w:val="00796FE6"/>
    <w:rPr>
      <w:sz w:val="28"/>
      <w:szCs w:val="24"/>
    </w:rPr>
  </w:style>
  <w:style w:type="character" w:styleId="ae">
    <w:name w:val="page number"/>
    <w:basedOn w:val="a0"/>
    <w:uiPriority w:val="99"/>
    <w:rsid w:val="00796FE6"/>
    <w:rPr>
      <w:rFonts w:cs="Times New Roman"/>
    </w:rPr>
  </w:style>
  <w:style w:type="paragraph" w:customStyle="1" w:styleId="af">
    <w:name w:val="Заголовок к тексту"/>
    <w:basedOn w:val="a"/>
    <w:uiPriority w:val="99"/>
    <w:rsid w:val="00796FE6"/>
    <w:pPr>
      <w:suppressAutoHyphens/>
    </w:pPr>
  </w:style>
  <w:style w:type="paragraph" w:customStyle="1" w:styleId="af0">
    <w:name w:val="Адресат/УТВЕРЖДАЮ/резолюция"/>
    <w:basedOn w:val="3"/>
    <w:uiPriority w:val="99"/>
    <w:rsid w:val="00796FE6"/>
    <w:pPr>
      <w:keepLines w:val="0"/>
      <w:numPr>
        <w:ilvl w:val="12"/>
      </w:numPr>
      <w:spacing w:before="0"/>
      <w:ind w:left="708" w:hanging="708"/>
      <w:jc w:val="right"/>
    </w:pPr>
    <w:rPr>
      <w:rFonts w:ascii="Times New Roman" w:eastAsia="Times New Roman" w:hAnsi="Times New Roman" w:cs="Times New Roman"/>
      <w:b w:val="0"/>
      <w:bCs w:val="0"/>
      <w:color w:val="auto"/>
      <w:sz w:val="28"/>
      <w:szCs w:val="20"/>
    </w:rPr>
  </w:style>
  <w:style w:type="paragraph" w:customStyle="1" w:styleId="af1">
    <w:name w:val="ФИЛИАЛ"/>
    <w:basedOn w:val="a"/>
    <w:uiPriority w:val="99"/>
    <w:rsid w:val="00796FE6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2">
    <w:name w:val="Реквизиты ОДУ"/>
    <w:basedOn w:val="a"/>
    <w:uiPriority w:val="99"/>
    <w:rsid w:val="00796FE6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3">
    <w:name w:val="регистрационный номер"/>
    <w:basedOn w:val="af2"/>
    <w:uiPriority w:val="99"/>
    <w:rsid w:val="00796FE6"/>
    <w:rPr>
      <w:b w:val="0"/>
      <w:bCs/>
      <w:sz w:val="24"/>
    </w:rPr>
  </w:style>
  <w:style w:type="character" w:styleId="af4">
    <w:name w:val="Strong"/>
    <w:basedOn w:val="a0"/>
    <w:uiPriority w:val="99"/>
    <w:qFormat/>
    <w:rsid w:val="00796FE6"/>
    <w:rPr>
      <w:rFonts w:cs="Times New Roman"/>
      <w:b/>
    </w:rPr>
  </w:style>
  <w:style w:type="paragraph" w:customStyle="1" w:styleId="infoblue">
    <w:name w:val="infoblue"/>
    <w:basedOn w:val="a"/>
    <w:next w:val="a"/>
    <w:uiPriority w:val="99"/>
    <w:rsid w:val="00796FE6"/>
    <w:pPr>
      <w:spacing w:before="100" w:beforeAutospacing="1" w:after="100" w:afterAutospacing="1" w:line="240" w:lineRule="atLeast"/>
      <w:jc w:val="both"/>
    </w:pPr>
    <w:rPr>
      <w:i/>
      <w:iCs/>
      <w:color w:val="0000FF"/>
      <w:sz w:val="20"/>
      <w:szCs w:val="20"/>
    </w:rPr>
  </w:style>
  <w:style w:type="paragraph" w:styleId="af5">
    <w:name w:val="footer"/>
    <w:basedOn w:val="a"/>
    <w:link w:val="af6"/>
    <w:uiPriority w:val="99"/>
    <w:rsid w:val="00796FE6"/>
    <w:pPr>
      <w:tabs>
        <w:tab w:val="center" w:pos="4677"/>
        <w:tab w:val="right" w:pos="9355"/>
      </w:tabs>
    </w:pPr>
    <w:rPr>
      <w:sz w:val="28"/>
    </w:rPr>
  </w:style>
  <w:style w:type="character" w:customStyle="1" w:styleId="af6">
    <w:name w:val="Нижний колонтитул Знак"/>
    <w:basedOn w:val="a0"/>
    <w:link w:val="af5"/>
    <w:uiPriority w:val="99"/>
    <w:rsid w:val="00796FE6"/>
    <w:rPr>
      <w:sz w:val="28"/>
      <w:szCs w:val="24"/>
    </w:rPr>
  </w:style>
  <w:style w:type="character" w:styleId="af7">
    <w:name w:val="annotation reference"/>
    <w:basedOn w:val="a0"/>
    <w:uiPriority w:val="99"/>
    <w:rsid w:val="00796FE6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rsid w:val="00796FE6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sid w:val="00796FE6"/>
  </w:style>
  <w:style w:type="paragraph" w:styleId="afa">
    <w:name w:val="annotation subject"/>
    <w:basedOn w:val="af8"/>
    <w:next w:val="af8"/>
    <w:link w:val="afb"/>
    <w:uiPriority w:val="99"/>
    <w:rsid w:val="00796FE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796FE6"/>
    <w:rPr>
      <w:b/>
      <w:bCs/>
    </w:rPr>
  </w:style>
  <w:style w:type="paragraph" w:customStyle="1" w:styleId="11">
    <w:name w:val="Обычный 1"/>
    <w:basedOn w:val="a"/>
    <w:uiPriority w:val="99"/>
    <w:rsid w:val="00796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8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6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0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image" Target="media/image9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8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0" Type="http://schemas.openxmlformats.org/officeDocument/2006/relationships/image" Target="media/image8.wmf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image" Target="media/image12.wmf"/><Relationship Id="rId49" Type="http://schemas.openxmlformats.org/officeDocument/2006/relationships/image" Target="media/image19.wmf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7.bin"/><Relationship Id="rId44" Type="http://schemas.openxmlformats.org/officeDocument/2006/relationships/image" Target="media/image16.wmf"/><Relationship Id="rId52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909B6-E750-4232-A289-08C0B0E7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rybnikova</dc:creator>
  <cp:lastModifiedBy>Марина Гирина</cp:lastModifiedBy>
  <cp:revision>14</cp:revision>
  <cp:lastPrinted>2015-01-19T11:31:00Z</cp:lastPrinted>
  <dcterms:created xsi:type="dcterms:W3CDTF">2015-02-12T09:55:00Z</dcterms:created>
  <dcterms:modified xsi:type="dcterms:W3CDTF">2015-02-20T08:23:00Z</dcterms:modified>
</cp:coreProperties>
</file>